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275" w:type="dxa"/>
        <w:tblLook w:val="04A0" w:firstRow="1" w:lastRow="0" w:firstColumn="1" w:lastColumn="0" w:noHBand="0" w:noVBand="1"/>
      </w:tblPr>
      <w:tblGrid>
        <w:gridCol w:w="5310"/>
        <w:gridCol w:w="6030"/>
      </w:tblGrid>
      <w:tr w:rsidR="0001773B" w14:paraId="09CD2133" w14:textId="77777777" w:rsidTr="008529E8">
        <w:tc>
          <w:tcPr>
            <w:tcW w:w="11340" w:type="dxa"/>
            <w:gridSpan w:val="2"/>
            <w:shd w:val="clear" w:color="auto" w:fill="auto"/>
          </w:tcPr>
          <w:p w14:paraId="6A087F35" w14:textId="77777777" w:rsidR="008529E8" w:rsidRPr="00FB1119" w:rsidRDefault="008529E8" w:rsidP="008529E8">
            <w:pPr>
              <w:keepLines/>
              <w:rPr>
                <w:b/>
              </w:rPr>
            </w:pPr>
            <w:bookmarkStart w:id="0" w:name="_GoBack"/>
            <w:bookmarkEnd w:id="0"/>
            <w:r w:rsidRPr="00FB1119">
              <w:rPr>
                <w:b/>
              </w:rPr>
              <w:t>General Information</w:t>
            </w:r>
          </w:p>
          <w:p w14:paraId="353068E9" w14:textId="3180A123" w:rsidR="00AD42AF" w:rsidRPr="00BC3F4E" w:rsidRDefault="00AD42AF" w:rsidP="00AD42AF">
            <w:pPr>
              <w:keepLines/>
              <w:rPr>
                <w:sz w:val="21"/>
                <w:szCs w:val="21"/>
              </w:rPr>
            </w:pPr>
            <w:r w:rsidRPr="00BC3F4E">
              <w:rPr>
                <w:sz w:val="21"/>
                <w:szCs w:val="21"/>
              </w:rPr>
              <w:t>The application has been totally re-designed to improve your experience</w:t>
            </w:r>
            <w:r>
              <w:rPr>
                <w:sz w:val="21"/>
                <w:szCs w:val="21"/>
              </w:rPr>
              <w:t>,</w:t>
            </w:r>
            <w:r w:rsidRPr="00BC3F4E">
              <w:rPr>
                <w:sz w:val="21"/>
                <w:szCs w:val="21"/>
              </w:rPr>
              <w:t xml:space="preserve"> especially for studies that are not clinical trials. One of the major changes is</w:t>
            </w:r>
            <w:r>
              <w:rPr>
                <w:sz w:val="21"/>
                <w:szCs w:val="21"/>
              </w:rPr>
              <w:t xml:space="preserve"> that</w:t>
            </w:r>
            <w:r w:rsidRPr="00BC3F4E">
              <w:rPr>
                <w:sz w:val="21"/>
                <w:szCs w:val="21"/>
              </w:rPr>
              <w:t xml:space="preserve"> there is one workflow for a new study instead of a separate pathway for exempt or coordinating center applications. </w:t>
            </w:r>
            <w:r w:rsidR="00DB2905">
              <w:t>Required sections are marked with a red asterisk. </w:t>
            </w:r>
            <w:r w:rsidR="00DB2905" w:rsidRPr="00700BC8">
              <w:rPr>
                <w:b/>
              </w:rPr>
              <w:t>Those questions without a red asterisk need only be answered when applicable.</w:t>
            </w:r>
            <w:r w:rsidR="00DB2905">
              <w:t> </w:t>
            </w:r>
          </w:p>
          <w:p w14:paraId="53C3ABA0" w14:textId="77777777" w:rsidR="008529E8" w:rsidRPr="00BC3F4E" w:rsidRDefault="008529E8" w:rsidP="008529E8">
            <w:pPr>
              <w:keepLines/>
              <w:rPr>
                <w:sz w:val="21"/>
                <w:szCs w:val="21"/>
              </w:rPr>
            </w:pPr>
          </w:p>
          <w:p w14:paraId="127D96D8" w14:textId="7A299714" w:rsidR="008529E8" w:rsidRPr="00BC3F4E" w:rsidRDefault="00802A54" w:rsidP="008529E8">
            <w:pPr>
              <w:keepLines/>
              <w:rPr>
                <w:sz w:val="21"/>
                <w:szCs w:val="21"/>
              </w:rPr>
            </w:pPr>
            <w:r>
              <w:rPr>
                <w:sz w:val="21"/>
                <w:szCs w:val="21"/>
              </w:rPr>
              <w:t xml:space="preserve">Your selections on the Study Scope page determine which branching pages are displayed. </w:t>
            </w:r>
            <w:r w:rsidR="008529E8" w:rsidRPr="00BC3F4E">
              <w:rPr>
                <w:sz w:val="21"/>
                <w:szCs w:val="21"/>
              </w:rPr>
              <w:t>You may find some content in OSIRIS that no longer has a home in PittPRO</w:t>
            </w:r>
            <w:r w:rsidR="00BC3F4E">
              <w:rPr>
                <w:sz w:val="21"/>
                <w:szCs w:val="21"/>
              </w:rPr>
              <w:t xml:space="preserve">, for example, </w:t>
            </w:r>
            <w:r w:rsidR="008529E8" w:rsidRPr="00BC3F4E">
              <w:rPr>
                <w:sz w:val="21"/>
                <w:szCs w:val="21"/>
              </w:rPr>
              <w:t xml:space="preserve">risk determination. Since the IRB makes the final decision, this question has been removed.  </w:t>
            </w:r>
            <w:r w:rsidR="000F1E2D">
              <w:rPr>
                <w:sz w:val="21"/>
                <w:szCs w:val="21"/>
              </w:rPr>
              <w:t>We tried to list all the main sections in OSIRIS to ease the transition to the PittPRO application. I</w:t>
            </w:r>
            <w:r w:rsidR="008529E8" w:rsidRPr="00BC3F4E">
              <w:rPr>
                <w:sz w:val="21"/>
                <w:szCs w:val="21"/>
              </w:rPr>
              <w:t>f you</w:t>
            </w:r>
            <w:r w:rsidR="000F1E2D">
              <w:rPr>
                <w:sz w:val="21"/>
                <w:szCs w:val="21"/>
              </w:rPr>
              <w:t xml:space="preserve"> have any question, </w:t>
            </w:r>
            <w:r w:rsidR="008529E8" w:rsidRPr="00BC3F4E">
              <w:rPr>
                <w:sz w:val="21"/>
                <w:szCs w:val="21"/>
              </w:rPr>
              <w:t xml:space="preserve">email </w:t>
            </w:r>
            <w:hyperlink r:id="rId7" w:history="1">
              <w:r w:rsidR="008529E8" w:rsidRPr="00BC3F4E">
                <w:rPr>
                  <w:rStyle w:val="Hyperlink"/>
                  <w:sz w:val="21"/>
                  <w:szCs w:val="21"/>
                </w:rPr>
                <w:t>askirb@pitt.edu</w:t>
              </w:r>
            </w:hyperlink>
            <w:r w:rsidR="008529E8" w:rsidRPr="00BC3F4E">
              <w:rPr>
                <w:sz w:val="21"/>
                <w:szCs w:val="21"/>
              </w:rPr>
              <w:t xml:space="preserve"> or </w:t>
            </w:r>
            <w:hyperlink r:id="rId8" w:history="1">
              <w:r w:rsidR="008529E8" w:rsidRPr="00BC3F4E">
                <w:rPr>
                  <w:rStyle w:val="Hyperlink"/>
                  <w:sz w:val="21"/>
                  <w:szCs w:val="21"/>
                </w:rPr>
                <w:t>rcco@pitt.edu</w:t>
              </w:r>
            </w:hyperlink>
            <w:r w:rsidR="008529E8" w:rsidRPr="00BC3F4E">
              <w:rPr>
                <w:sz w:val="21"/>
                <w:szCs w:val="21"/>
              </w:rPr>
              <w:t>.</w:t>
            </w:r>
          </w:p>
          <w:p w14:paraId="4011E6B9" w14:textId="77777777" w:rsidR="0001773B" w:rsidRPr="00364FB3" w:rsidRDefault="0001773B" w:rsidP="004C6DB6">
            <w:pPr>
              <w:rPr>
                <w:b/>
              </w:rPr>
            </w:pPr>
          </w:p>
        </w:tc>
      </w:tr>
      <w:tr w:rsidR="00317F7F" w14:paraId="2E998029" w14:textId="77777777" w:rsidTr="00AD42AF">
        <w:tc>
          <w:tcPr>
            <w:tcW w:w="5310" w:type="dxa"/>
            <w:shd w:val="clear" w:color="auto" w:fill="D9E2F3" w:themeFill="accent1" w:themeFillTint="33"/>
          </w:tcPr>
          <w:p w14:paraId="36D67882" w14:textId="47F8A369" w:rsidR="00317F7F" w:rsidRPr="00317F7F" w:rsidRDefault="00317F7F" w:rsidP="00317F7F">
            <w:pPr>
              <w:rPr>
                <w:b/>
                <w:sz w:val="28"/>
                <w:szCs w:val="28"/>
              </w:rPr>
            </w:pPr>
            <w:r w:rsidRPr="00317F7F">
              <w:rPr>
                <w:b/>
                <w:sz w:val="28"/>
                <w:szCs w:val="28"/>
              </w:rPr>
              <w:t>PittPRO application</w:t>
            </w:r>
          </w:p>
        </w:tc>
        <w:tc>
          <w:tcPr>
            <w:tcW w:w="6030" w:type="dxa"/>
            <w:shd w:val="clear" w:color="auto" w:fill="FFF2CC" w:themeFill="accent4" w:themeFillTint="33"/>
          </w:tcPr>
          <w:p w14:paraId="5CD9E7AB" w14:textId="2F26F2AF" w:rsidR="00317F7F" w:rsidRPr="00317F7F" w:rsidRDefault="00317F7F" w:rsidP="00317F7F">
            <w:pPr>
              <w:rPr>
                <w:b/>
                <w:sz w:val="28"/>
                <w:szCs w:val="28"/>
              </w:rPr>
            </w:pPr>
            <w:r w:rsidRPr="00317F7F">
              <w:rPr>
                <w:b/>
                <w:sz w:val="28"/>
                <w:szCs w:val="28"/>
              </w:rPr>
              <w:t>OSIRIS application</w:t>
            </w:r>
          </w:p>
        </w:tc>
      </w:tr>
      <w:tr w:rsidR="008D04D0" w14:paraId="159791A2" w14:textId="77777777" w:rsidTr="00AD42AF">
        <w:trPr>
          <w:trHeight w:val="1104"/>
        </w:trPr>
        <w:tc>
          <w:tcPr>
            <w:tcW w:w="5310" w:type="dxa"/>
            <w:shd w:val="clear" w:color="auto" w:fill="D9E2F3" w:themeFill="accent1" w:themeFillTint="33"/>
          </w:tcPr>
          <w:p w14:paraId="04D676D0" w14:textId="77777777" w:rsidR="008D04D0" w:rsidRPr="00AD60C3" w:rsidRDefault="008D04D0" w:rsidP="00796E83">
            <w:pPr>
              <w:rPr>
                <w:b/>
              </w:rPr>
            </w:pPr>
            <w:r w:rsidRPr="00AD60C3">
              <w:rPr>
                <w:b/>
              </w:rPr>
              <w:t>Basic Information</w:t>
            </w:r>
          </w:p>
          <w:p w14:paraId="6FFF113A" w14:textId="09334FCA" w:rsidR="008D04D0" w:rsidRPr="00AD60C3" w:rsidRDefault="008D04D0" w:rsidP="00796E83">
            <w:pPr>
              <w:rPr>
                <w:b/>
              </w:rPr>
            </w:pPr>
          </w:p>
        </w:tc>
        <w:tc>
          <w:tcPr>
            <w:tcW w:w="6030" w:type="dxa"/>
            <w:shd w:val="clear" w:color="auto" w:fill="FFF2CC" w:themeFill="accent4" w:themeFillTint="33"/>
          </w:tcPr>
          <w:p w14:paraId="3AE07428" w14:textId="77777777" w:rsidR="008D04D0" w:rsidRPr="00DE711A" w:rsidRDefault="008D04D0" w:rsidP="00796E83">
            <w:r w:rsidRPr="002E212B">
              <w:t xml:space="preserve"> - Triage 1.0 - 2.0 - Start Protocol</w:t>
            </w:r>
          </w:p>
          <w:p w14:paraId="4FD4EF1B" w14:textId="77777777" w:rsidR="008D04D0" w:rsidRPr="00DE711A" w:rsidRDefault="008D04D0" w:rsidP="00796E83">
            <w:r w:rsidRPr="002E212B">
              <w:t xml:space="preserve"> - Cover Sheet 1.0 - Reason for Submission</w:t>
            </w:r>
          </w:p>
          <w:p w14:paraId="36E5D113" w14:textId="77777777" w:rsidR="008D04D0" w:rsidRPr="00DE711A" w:rsidRDefault="008D04D0" w:rsidP="00796E83">
            <w:r w:rsidRPr="002E212B">
              <w:t xml:space="preserve"> - Cover Sheet 2.0 - 2.2 - Study Title and Protocol Abstract</w:t>
            </w:r>
          </w:p>
          <w:p w14:paraId="47BD1AAA" w14:textId="77777777" w:rsidR="008D04D0" w:rsidRDefault="008D04D0" w:rsidP="00796E83">
            <w:r w:rsidRPr="002E212B">
              <w:t xml:space="preserve"> - Cover Sheet 3.0 - 3.9 - PI Information</w:t>
            </w:r>
          </w:p>
          <w:p w14:paraId="2744CDCA" w14:textId="6A6C5034" w:rsidR="008D04D0" w:rsidRPr="00DE711A" w:rsidRDefault="008D04D0" w:rsidP="00796E83">
            <w:r>
              <w:t>- Cover Sheet 11.0 - Sponsor Protocol &amp; Brochure</w:t>
            </w:r>
          </w:p>
        </w:tc>
      </w:tr>
      <w:tr w:rsidR="00802A54" w14:paraId="33159BC5" w14:textId="77777777" w:rsidTr="00AD42AF">
        <w:trPr>
          <w:trHeight w:val="547"/>
        </w:trPr>
        <w:tc>
          <w:tcPr>
            <w:tcW w:w="5310" w:type="dxa"/>
            <w:shd w:val="clear" w:color="auto" w:fill="D9E2F3" w:themeFill="accent1" w:themeFillTint="33"/>
          </w:tcPr>
          <w:p w14:paraId="13092CE0" w14:textId="1601B761" w:rsidR="00802A54" w:rsidRPr="00AD60C3" w:rsidRDefault="00802A54" w:rsidP="00796E83">
            <w:pPr>
              <w:rPr>
                <w:b/>
              </w:rPr>
            </w:pPr>
            <w:r w:rsidRPr="00AD60C3">
              <w:rPr>
                <w:b/>
              </w:rPr>
              <w:t xml:space="preserve">Funding Sources </w:t>
            </w:r>
          </w:p>
          <w:p w14:paraId="5584BC57" w14:textId="248C05F3" w:rsidR="00802A54" w:rsidRPr="00AD60C3" w:rsidRDefault="00802A54" w:rsidP="00796E83">
            <w:pPr>
              <w:rPr>
                <w:b/>
              </w:rPr>
            </w:pPr>
          </w:p>
        </w:tc>
        <w:tc>
          <w:tcPr>
            <w:tcW w:w="6030" w:type="dxa"/>
            <w:shd w:val="clear" w:color="auto" w:fill="FFF2CC" w:themeFill="accent4" w:themeFillTint="33"/>
          </w:tcPr>
          <w:p w14:paraId="4078881A" w14:textId="77777777" w:rsidR="00802A54" w:rsidRDefault="00B25665" w:rsidP="00B25665">
            <w:r>
              <w:t xml:space="preserve">  </w:t>
            </w:r>
            <w:r w:rsidR="00802A54" w:rsidRPr="009E4725">
              <w:t xml:space="preserve"> - 7.2 - All Sources of Support</w:t>
            </w:r>
          </w:p>
          <w:p w14:paraId="603A2E78" w14:textId="52B3520E" w:rsidR="00B25665" w:rsidRPr="00DE711A" w:rsidRDefault="00B25665" w:rsidP="00B25665">
            <w:r>
              <w:t xml:space="preserve">   </w:t>
            </w:r>
            <w:r w:rsidRPr="009E4725">
              <w:t>Fee Sheet</w:t>
            </w:r>
            <w:r>
              <w:t xml:space="preserve"> (industry sponsored)</w:t>
            </w:r>
          </w:p>
        </w:tc>
      </w:tr>
      <w:tr w:rsidR="00802A54" w14:paraId="62977C61" w14:textId="77777777" w:rsidTr="00AD42AF">
        <w:trPr>
          <w:trHeight w:val="826"/>
        </w:trPr>
        <w:tc>
          <w:tcPr>
            <w:tcW w:w="5310" w:type="dxa"/>
            <w:shd w:val="clear" w:color="auto" w:fill="D9E2F3" w:themeFill="accent1" w:themeFillTint="33"/>
          </w:tcPr>
          <w:p w14:paraId="30DCA928" w14:textId="77777777" w:rsidR="00802A54" w:rsidRPr="00AD60C3" w:rsidRDefault="00802A54" w:rsidP="00796E83">
            <w:pPr>
              <w:rPr>
                <w:b/>
              </w:rPr>
            </w:pPr>
            <w:r w:rsidRPr="00AD60C3">
              <w:rPr>
                <w:b/>
              </w:rPr>
              <w:t>Study Team Members</w:t>
            </w:r>
          </w:p>
          <w:p w14:paraId="48463B3F" w14:textId="1B28DAD9" w:rsidR="00802A54" w:rsidRPr="00AD60C3" w:rsidRDefault="00802A54" w:rsidP="00796E83">
            <w:pPr>
              <w:rPr>
                <w:b/>
              </w:rPr>
            </w:pPr>
          </w:p>
        </w:tc>
        <w:tc>
          <w:tcPr>
            <w:tcW w:w="6030" w:type="dxa"/>
            <w:shd w:val="clear" w:color="auto" w:fill="FFF2CC" w:themeFill="accent4" w:themeFillTint="33"/>
          </w:tcPr>
          <w:p w14:paraId="37AC78A4" w14:textId="77777777" w:rsidR="00802A54" w:rsidRDefault="00802A54" w:rsidP="00796E83">
            <w:r w:rsidRPr="00834609">
              <w:t xml:space="preserve"> - Cover Sheet 4.0 - Co-Investigators</w:t>
            </w:r>
          </w:p>
          <w:p w14:paraId="6E9CF4B5" w14:textId="77777777" w:rsidR="00802A54" w:rsidRDefault="00802A54" w:rsidP="00796E83">
            <w:r w:rsidRPr="00834609">
              <w:t xml:space="preserve"> - Cover Sheet 5.0 - 6.3 - Research Staff</w:t>
            </w:r>
          </w:p>
          <w:p w14:paraId="495BBAC6" w14:textId="1664A863" w:rsidR="00802A54" w:rsidRDefault="00802A54" w:rsidP="00796E83">
            <w:r w:rsidRPr="00834609">
              <w:t xml:space="preserve"> - 7.1 - Qualifications and Experience of PI and Listed Co-Is</w:t>
            </w:r>
          </w:p>
        </w:tc>
      </w:tr>
      <w:tr w:rsidR="00D52329" w14:paraId="6014A3B5" w14:textId="77777777" w:rsidTr="00AD42AF">
        <w:tc>
          <w:tcPr>
            <w:tcW w:w="5310" w:type="dxa"/>
            <w:shd w:val="clear" w:color="auto" w:fill="D9E2F3" w:themeFill="accent1" w:themeFillTint="33"/>
          </w:tcPr>
          <w:p w14:paraId="7214FBD1" w14:textId="77777777" w:rsidR="00D52329" w:rsidRPr="00AD60C3" w:rsidRDefault="00D52329" w:rsidP="00796E83">
            <w:pPr>
              <w:rPr>
                <w:b/>
              </w:rPr>
            </w:pPr>
          </w:p>
        </w:tc>
        <w:tc>
          <w:tcPr>
            <w:tcW w:w="6030" w:type="dxa"/>
            <w:shd w:val="clear" w:color="auto" w:fill="FFF2CC" w:themeFill="accent4" w:themeFillTint="33"/>
          </w:tcPr>
          <w:p w14:paraId="2A0D6CD3" w14:textId="77777777" w:rsidR="00D52329" w:rsidRPr="00834609" w:rsidRDefault="00D52329" w:rsidP="00796E83"/>
        </w:tc>
      </w:tr>
      <w:tr w:rsidR="00D52329" w14:paraId="573D0A9C" w14:textId="77777777" w:rsidTr="00AD42AF">
        <w:tc>
          <w:tcPr>
            <w:tcW w:w="5310" w:type="dxa"/>
            <w:shd w:val="clear" w:color="auto" w:fill="D9E2F3" w:themeFill="accent1" w:themeFillTint="33"/>
          </w:tcPr>
          <w:p w14:paraId="2CAB04A5" w14:textId="1729F3EB" w:rsidR="00D52329" w:rsidRPr="00D52329" w:rsidRDefault="00D52329" w:rsidP="00D52329">
            <w:pPr>
              <w:rPr>
                <w:b/>
              </w:rPr>
            </w:pPr>
            <w:r w:rsidRPr="00D52329">
              <w:rPr>
                <w:b/>
              </w:rPr>
              <w:t>Study Scope</w:t>
            </w:r>
          </w:p>
        </w:tc>
        <w:tc>
          <w:tcPr>
            <w:tcW w:w="6030" w:type="dxa"/>
            <w:shd w:val="clear" w:color="auto" w:fill="FFF2CC" w:themeFill="accent4" w:themeFillTint="33"/>
          </w:tcPr>
          <w:p w14:paraId="37DDE8E9" w14:textId="3F7F2F99" w:rsidR="00D52329" w:rsidRPr="00834609" w:rsidRDefault="00D52329" w:rsidP="00D52329">
            <w:r w:rsidRPr="00225707">
              <w:t xml:space="preserve"> - Cover Sheet 16.0 - Special Research Subject Population</w:t>
            </w:r>
          </w:p>
        </w:tc>
      </w:tr>
      <w:tr w:rsidR="00961E3D" w14:paraId="6074A7B1" w14:textId="77777777" w:rsidTr="00AD42AF">
        <w:tc>
          <w:tcPr>
            <w:tcW w:w="5310" w:type="dxa"/>
            <w:shd w:val="clear" w:color="auto" w:fill="D9E2F3" w:themeFill="accent1" w:themeFillTint="33"/>
          </w:tcPr>
          <w:p w14:paraId="46019015" w14:textId="40A9C1D5" w:rsidR="00961E3D" w:rsidRPr="00AD60C3" w:rsidRDefault="00961E3D" w:rsidP="00AD60C3">
            <w:pPr>
              <w:rPr>
                <w:b/>
              </w:rPr>
            </w:pPr>
            <w:r>
              <w:rPr>
                <w:b/>
              </w:rPr>
              <w:t>Study Scope to Adults with Impaired Decision-Making Capacity</w:t>
            </w:r>
          </w:p>
        </w:tc>
        <w:tc>
          <w:tcPr>
            <w:tcW w:w="6030" w:type="dxa"/>
            <w:shd w:val="clear" w:color="auto" w:fill="FFF2CC" w:themeFill="accent4" w:themeFillTint="33"/>
          </w:tcPr>
          <w:p w14:paraId="45015DB4" w14:textId="60F91196" w:rsidR="00961E3D" w:rsidRPr="00433CB8" w:rsidRDefault="00961E3D" w:rsidP="00AD60C3">
            <w:r w:rsidRPr="003726D4">
              <w:t>- 4.10 - Adult Subjects Capable of Providing Consent</w:t>
            </w:r>
          </w:p>
        </w:tc>
      </w:tr>
      <w:tr w:rsidR="009753BC" w14:paraId="09A93F1A" w14:textId="77777777" w:rsidTr="00AD42AF">
        <w:tc>
          <w:tcPr>
            <w:tcW w:w="5310" w:type="dxa"/>
            <w:shd w:val="clear" w:color="auto" w:fill="D9E2F3" w:themeFill="accent1" w:themeFillTint="33"/>
          </w:tcPr>
          <w:p w14:paraId="36F2D13D" w14:textId="694B75A2" w:rsidR="009753BC" w:rsidRPr="009753BC" w:rsidRDefault="009753BC" w:rsidP="009753BC">
            <w:pPr>
              <w:rPr>
                <w:b/>
              </w:rPr>
            </w:pPr>
            <w:r w:rsidRPr="009753BC">
              <w:rPr>
                <w:b/>
              </w:rPr>
              <w:t>Study Scope (no branching)</w:t>
            </w:r>
          </w:p>
        </w:tc>
        <w:tc>
          <w:tcPr>
            <w:tcW w:w="6030" w:type="dxa"/>
            <w:shd w:val="clear" w:color="auto" w:fill="FFF2CC" w:themeFill="accent4" w:themeFillTint="33"/>
          </w:tcPr>
          <w:p w14:paraId="1C51D01A" w14:textId="0EECADC2" w:rsidR="009753BC" w:rsidRPr="00C7010E" w:rsidRDefault="009753BC" w:rsidP="009753BC">
            <w:r w:rsidRPr="00E9541D">
              <w:t xml:space="preserve"> - 3.5 - Participation of Children</w:t>
            </w:r>
          </w:p>
        </w:tc>
      </w:tr>
      <w:tr w:rsidR="00C7010E" w14:paraId="222AC475" w14:textId="77777777" w:rsidTr="00AD42AF">
        <w:tc>
          <w:tcPr>
            <w:tcW w:w="5310" w:type="dxa"/>
            <w:shd w:val="clear" w:color="auto" w:fill="D9E2F3" w:themeFill="accent1" w:themeFillTint="33"/>
          </w:tcPr>
          <w:p w14:paraId="7E2E4372" w14:textId="057CD57C" w:rsidR="00C7010E" w:rsidRDefault="00C7010E" w:rsidP="00AD60C3">
            <w:pPr>
              <w:rPr>
                <w:b/>
              </w:rPr>
            </w:pPr>
            <w:r>
              <w:rPr>
                <w:b/>
              </w:rPr>
              <w:t xml:space="preserve">Study Scope </w:t>
            </w:r>
            <w:r w:rsidR="00AD42AF">
              <w:rPr>
                <w:b/>
              </w:rPr>
              <w:t xml:space="preserve">branches </w:t>
            </w:r>
            <w:r>
              <w:rPr>
                <w:b/>
              </w:rPr>
              <w:t xml:space="preserve">to Neonate of </w:t>
            </w:r>
            <w:r w:rsidR="00444020">
              <w:rPr>
                <w:b/>
              </w:rPr>
              <w:t>U</w:t>
            </w:r>
            <w:r>
              <w:rPr>
                <w:b/>
              </w:rPr>
              <w:t xml:space="preserve">ncertain </w:t>
            </w:r>
            <w:r w:rsidR="00444020">
              <w:rPr>
                <w:b/>
              </w:rPr>
              <w:t>V</w:t>
            </w:r>
            <w:r>
              <w:rPr>
                <w:b/>
              </w:rPr>
              <w:t>iability</w:t>
            </w:r>
          </w:p>
        </w:tc>
        <w:tc>
          <w:tcPr>
            <w:tcW w:w="6030" w:type="dxa"/>
            <w:vMerge w:val="restart"/>
            <w:shd w:val="clear" w:color="auto" w:fill="FFF2CC" w:themeFill="accent4" w:themeFillTint="33"/>
          </w:tcPr>
          <w:p w14:paraId="4FDE6739" w14:textId="737BC9CA" w:rsidR="00C7010E" w:rsidRPr="003726D4" w:rsidRDefault="007A7CC1" w:rsidP="00AD0C80">
            <w:r w:rsidRPr="00C7010E">
              <w:t>- 3.8 - Involvement of Neonates</w:t>
            </w:r>
          </w:p>
        </w:tc>
      </w:tr>
      <w:tr w:rsidR="00C7010E" w14:paraId="00C1F217" w14:textId="77777777" w:rsidTr="00AD42AF">
        <w:tc>
          <w:tcPr>
            <w:tcW w:w="5310" w:type="dxa"/>
            <w:shd w:val="clear" w:color="auto" w:fill="D9E2F3" w:themeFill="accent1" w:themeFillTint="33"/>
          </w:tcPr>
          <w:p w14:paraId="619A0D04" w14:textId="30A761E6" w:rsidR="00C7010E" w:rsidRPr="00C7010E" w:rsidRDefault="00C7010E" w:rsidP="00C7010E">
            <w:pPr>
              <w:rPr>
                <w:b/>
              </w:rPr>
            </w:pPr>
            <w:r w:rsidRPr="00C7010E">
              <w:rPr>
                <w:b/>
              </w:rPr>
              <w:t xml:space="preserve">Study Scope </w:t>
            </w:r>
            <w:r w:rsidR="00AD42AF">
              <w:rPr>
                <w:b/>
              </w:rPr>
              <w:t>branches</w:t>
            </w:r>
            <w:r w:rsidR="00AD42AF" w:rsidRPr="00C7010E">
              <w:rPr>
                <w:b/>
              </w:rPr>
              <w:t xml:space="preserve"> </w:t>
            </w:r>
            <w:r w:rsidRPr="00C7010E">
              <w:rPr>
                <w:b/>
              </w:rPr>
              <w:t xml:space="preserve">to </w:t>
            </w:r>
            <w:r>
              <w:rPr>
                <w:b/>
              </w:rPr>
              <w:t xml:space="preserve">Non-viable </w:t>
            </w:r>
            <w:r w:rsidR="00444020">
              <w:rPr>
                <w:b/>
              </w:rPr>
              <w:t>N</w:t>
            </w:r>
            <w:r w:rsidRPr="00C7010E">
              <w:rPr>
                <w:b/>
              </w:rPr>
              <w:t>eonate</w:t>
            </w:r>
            <w:r>
              <w:rPr>
                <w:b/>
              </w:rPr>
              <w:t>s</w:t>
            </w:r>
          </w:p>
        </w:tc>
        <w:tc>
          <w:tcPr>
            <w:tcW w:w="6030" w:type="dxa"/>
            <w:vMerge/>
            <w:shd w:val="clear" w:color="auto" w:fill="FFF2CC" w:themeFill="accent4" w:themeFillTint="33"/>
          </w:tcPr>
          <w:p w14:paraId="6DF23AAD" w14:textId="054DAF74" w:rsidR="00C7010E" w:rsidRPr="00163B03" w:rsidRDefault="00C7010E" w:rsidP="00C7010E">
            <w:pPr>
              <w:rPr>
                <w:highlight w:val="green"/>
              </w:rPr>
            </w:pPr>
          </w:p>
        </w:tc>
      </w:tr>
      <w:tr w:rsidR="00C7010E" w14:paraId="769D1716" w14:textId="77777777" w:rsidTr="00AD42AF">
        <w:tc>
          <w:tcPr>
            <w:tcW w:w="5310" w:type="dxa"/>
            <w:shd w:val="clear" w:color="auto" w:fill="D9E2F3" w:themeFill="accent1" w:themeFillTint="33"/>
          </w:tcPr>
          <w:p w14:paraId="6757A74A" w14:textId="5F664657" w:rsidR="00C7010E" w:rsidRPr="00AD60C3" w:rsidRDefault="00C7010E" w:rsidP="00AD60C3">
            <w:pPr>
              <w:rPr>
                <w:b/>
              </w:rPr>
            </w:pPr>
            <w:r>
              <w:rPr>
                <w:b/>
              </w:rPr>
              <w:t xml:space="preserve">Study Scope </w:t>
            </w:r>
            <w:r w:rsidR="00AD42AF">
              <w:rPr>
                <w:b/>
              </w:rPr>
              <w:t xml:space="preserve">branches </w:t>
            </w:r>
            <w:r>
              <w:rPr>
                <w:b/>
              </w:rPr>
              <w:t xml:space="preserve">to Non-English </w:t>
            </w:r>
            <w:r w:rsidR="00444020">
              <w:rPr>
                <w:b/>
              </w:rPr>
              <w:t>S</w:t>
            </w:r>
            <w:r>
              <w:rPr>
                <w:b/>
              </w:rPr>
              <w:t>peakers</w:t>
            </w:r>
          </w:p>
        </w:tc>
        <w:tc>
          <w:tcPr>
            <w:tcW w:w="6030" w:type="dxa"/>
            <w:shd w:val="clear" w:color="auto" w:fill="FFF2CC" w:themeFill="accent4" w:themeFillTint="33"/>
          </w:tcPr>
          <w:p w14:paraId="7FC3184B" w14:textId="191ED296" w:rsidR="00C7010E" w:rsidRDefault="00B436B8" w:rsidP="00B436B8">
            <w:pPr>
              <w:rPr>
                <w:highlight w:val="green"/>
              </w:rPr>
            </w:pPr>
            <w:r w:rsidRPr="002C3EB8">
              <w:t>- 3.4</w:t>
            </w:r>
            <w:r w:rsidR="002C3EB8" w:rsidRPr="002C3EB8">
              <w:t xml:space="preserve"> – Comprehend English</w:t>
            </w:r>
            <w:r>
              <w:t xml:space="preserve"> </w:t>
            </w:r>
            <w:r w:rsidR="002C3EB8">
              <w:t xml:space="preserve"> </w:t>
            </w:r>
          </w:p>
          <w:p w14:paraId="28B9AFE1" w14:textId="4673F868" w:rsidR="002C3EB8" w:rsidRPr="00433CB8" w:rsidRDefault="002C3EB8" w:rsidP="00B436B8">
            <w:r>
              <w:t>- 2.19.2 – Non-English speaking</w:t>
            </w:r>
          </w:p>
        </w:tc>
      </w:tr>
      <w:tr w:rsidR="003C5D51" w14:paraId="46E600DC" w14:textId="77777777" w:rsidTr="00AD42AF">
        <w:tc>
          <w:tcPr>
            <w:tcW w:w="5310" w:type="dxa"/>
            <w:shd w:val="clear" w:color="auto" w:fill="D9E2F3" w:themeFill="accent1" w:themeFillTint="33"/>
          </w:tcPr>
          <w:p w14:paraId="558A023E" w14:textId="71A56573" w:rsidR="003C5D51" w:rsidRDefault="003C5D51" w:rsidP="00AD60C3">
            <w:pPr>
              <w:rPr>
                <w:b/>
              </w:rPr>
            </w:pPr>
            <w:r>
              <w:rPr>
                <w:b/>
              </w:rPr>
              <w:t xml:space="preserve">Study Scope </w:t>
            </w:r>
            <w:r w:rsidR="00AD42AF">
              <w:rPr>
                <w:b/>
              </w:rPr>
              <w:t xml:space="preserve">branches </w:t>
            </w:r>
            <w:r>
              <w:rPr>
                <w:b/>
              </w:rPr>
              <w:t xml:space="preserve">to </w:t>
            </w:r>
            <w:r w:rsidR="007A7CC1">
              <w:rPr>
                <w:b/>
              </w:rPr>
              <w:t xml:space="preserve">Nursing Home </w:t>
            </w:r>
            <w:r w:rsidR="00444020">
              <w:rPr>
                <w:b/>
              </w:rPr>
              <w:t>P</w:t>
            </w:r>
            <w:r w:rsidR="007A7CC1">
              <w:rPr>
                <w:b/>
              </w:rPr>
              <w:t>atients</w:t>
            </w:r>
            <w:r w:rsidR="00444020">
              <w:rPr>
                <w:b/>
              </w:rPr>
              <w:t xml:space="preserve"> in PA</w:t>
            </w:r>
          </w:p>
        </w:tc>
        <w:tc>
          <w:tcPr>
            <w:tcW w:w="6030" w:type="dxa"/>
            <w:shd w:val="clear" w:color="auto" w:fill="FFF2CC" w:themeFill="accent4" w:themeFillTint="33"/>
          </w:tcPr>
          <w:p w14:paraId="2A84E22F" w14:textId="0004D139" w:rsidR="003C5D51" w:rsidRPr="00433CB8" w:rsidRDefault="007A7CC1" w:rsidP="00AD60C3">
            <w:r w:rsidRPr="00433CB8">
              <w:t>- 2.21 - Study Involves Pennsylvania Nursing Home</w:t>
            </w:r>
          </w:p>
        </w:tc>
      </w:tr>
      <w:tr w:rsidR="007A7CC1" w14:paraId="1396BC11" w14:textId="77777777" w:rsidTr="00AD42AF">
        <w:tc>
          <w:tcPr>
            <w:tcW w:w="5310" w:type="dxa"/>
            <w:shd w:val="clear" w:color="auto" w:fill="D9E2F3" w:themeFill="accent1" w:themeFillTint="33"/>
          </w:tcPr>
          <w:p w14:paraId="46DFFA62" w14:textId="1F411A44" w:rsidR="007A7CC1" w:rsidRDefault="007A7CC1" w:rsidP="00AD60C3">
            <w:pPr>
              <w:rPr>
                <w:b/>
              </w:rPr>
            </w:pPr>
            <w:r>
              <w:rPr>
                <w:b/>
              </w:rPr>
              <w:t>Study Scope</w:t>
            </w:r>
            <w:r w:rsidR="00AD42AF">
              <w:rPr>
                <w:b/>
              </w:rPr>
              <w:t xml:space="preserve"> branches</w:t>
            </w:r>
            <w:r>
              <w:rPr>
                <w:b/>
              </w:rPr>
              <w:t xml:space="preserve"> to Pregnant Women</w:t>
            </w:r>
          </w:p>
        </w:tc>
        <w:tc>
          <w:tcPr>
            <w:tcW w:w="6030" w:type="dxa"/>
            <w:shd w:val="clear" w:color="auto" w:fill="FFF2CC" w:themeFill="accent4" w:themeFillTint="33"/>
          </w:tcPr>
          <w:p w14:paraId="199566D5" w14:textId="57D6C018" w:rsidR="007A7CC1" w:rsidRPr="00433CB8" w:rsidRDefault="007A7CC1" w:rsidP="00AD60C3">
            <w:r w:rsidRPr="00433CB8">
              <w:t>- 3.7 - Participation of Pregnant Women</w:t>
            </w:r>
          </w:p>
        </w:tc>
      </w:tr>
      <w:tr w:rsidR="007A7CC1" w14:paraId="27BBDDC3" w14:textId="77777777" w:rsidTr="00AD42AF">
        <w:tc>
          <w:tcPr>
            <w:tcW w:w="5310" w:type="dxa"/>
            <w:shd w:val="clear" w:color="auto" w:fill="D9E2F3" w:themeFill="accent1" w:themeFillTint="33"/>
          </w:tcPr>
          <w:p w14:paraId="492E4D0A" w14:textId="27F02D31" w:rsidR="007A7CC1" w:rsidRDefault="007A7CC1" w:rsidP="007A7CC1">
            <w:pPr>
              <w:rPr>
                <w:b/>
              </w:rPr>
            </w:pPr>
            <w:r w:rsidRPr="00AD60C3">
              <w:rPr>
                <w:b/>
              </w:rPr>
              <w:t xml:space="preserve">Study Scope </w:t>
            </w:r>
            <w:r w:rsidR="00AD42AF">
              <w:rPr>
                <w:b/>
              </w:rPr>
              <w:t>branches</w:t>
            </w:r>
            <w:r w:rsidR="00AD42AF" w:rsidRPr="00AD60C3">
              <w:rPr>
                <w:b/>
              </w:rPr>
              <w:t xml:space="preserve"> </w:t>
            </w:r>
            <w:r w:rsidRPr="00AD60C3">
              <w:rPr>
                <w:b/>
              </w:rPr>
              <w:t>to Prisoner</w:t>
            </w:r>
            <w:r>
              <w:rPr>
                <w:b/>
              </w:rPr>
              <w:t>s</w:t>
            </w:r>
          </w:p>
        </w:tc>
        <w:tc>
          <w:tcPr>
            <w:tcW w:w="6030" w:type="dxa"/>
            <w:shd w:val="clear" w:color="auto" w:fill="FFF2CC" w:themeFill="accent4" w:themeFillTint="33"/>
          </w:tcPr>
          <w:p w14:paraId="104E5266" w14:textId="5EA3C05B" w:rsidR="007A7CC1" w:rsidRPr="00433CB8" w:rsidRDefault="007A7CC1" w:rsidP="007A7CC1">
            <w:r w:rsidRPr="00433CB8">
              <w:t xml:space="preserve"> - 3.6 - Participation of Prisoners</w:t>
            </w:r>
          </w:p>
        </w:tc>
      </w:tr>
      <w:tr w:rsidR="000A0430" w14:paraId="011AB32E" w14:textId="77777777" w:rsidTr="00AD42AF">
        <w:tc>
          <w:tcPr>
            <w:tcW w:w="5310" w:type="dxa"/>
            <w:shd w:val="clear" w:color="auto" w:fill="D9E2F3" w:themeFill="accent1" w:themeFillTint="33"/>
          </w:tcPr>
          <w:p w14:paraId="4864996B" w14:textId="14A8D4B5" w:rsidR="000A0430" w:rsidRPr="00AD60C3" w:rsidRDefault="000A0430" w:rsidP="000A0430">
            <w:pPr>
              <w:rPr>
                <w:b/>
              </w:rPr>
            </w:pPr>
          </w:p>
        </w:tc>
        <w:tc>
          <w:tcPr>
            <w:tcW w:w="6030" w:type="dxa"/>
            <w:shd w:val="clear" w:color="auto" w:fill="FFF2CC" w:themeFill="accent4" w:themeFillTint="33"/>
          </w:tcPr>
          <w:p w14:paraId="565E777C" w14:textId="14C2EA72" w:rsidR="000A0430" w:rsidRPr="00433CB8" w:rsidRDefault="000A0430" w:rsidP="000A0430"/>
        </w:tc>
      </w:tr>
      <w:tr w:rsidR="000A0430" w14:paraId="26873B68" w14:textId="77777777" w:rsidTr="00AD42AF">
        <w:tc>
          <w:tcPr>
            <w:tcW w:w="5310" w:type="dxa"/>
            <w:shd w:val="clear" w:color="auto" w:fill="D9E2F3" w:themeFill="accent1" w:themeFillTint="33"/>
          </w:tcPr>
          <w:p w14:paraId="73D70074" w14:textId="2EBBDC34" w:rsidR="000A0430" w:rsidRPr="000A0430" w:rsidRDefault="000A0430" w:rsidP="000A0430">
            <w:pPr>
              <w:rPr>
                <w:b/>
              </w:rPr>
            </w:pPr>
            <w:r w:rsidRPr="000A0430">
              <w:rPr>
                <w:b/>
              </w:rPr>
              <w:t xml:space="preserve">Study Scope </w:t>
            </w:r>
            <w:r w:rsidR="00AD42AF">
              <w:rPr>
                <w:b/>
              </w:rPr>
              <w:t xml:space="preserve">branches </w:t>
            </w:r>
            <w:r w:rsidR="00813A8B">
              <w:rPr>
                <w:b/>
              </w:rPr>
              <w:t xml:space="preserve">to </w:t>
            </w:r>
            <w:r w:rsidR="00813A8B" w:rsidRPr="000A0430">
              <w:rPr>
                <w:b/>
              </w:rPr>
              <w:t xml:space="preserve">Waiver/Alteration of Consent </w:t>
            </w:r>
          </w:p>
        </w:tc>
        <w:tc>
          <w:tcPr>
            <w:tcW w:w="6030" w:type="dxa"/>
            <w:shd w:val="clear" w:color="auto" w:fill="FFF2CC" w:themeFill="accent4" w:themeFillTint="33"/>
          </w:tcPr>
          <w:p w14:paraId="1A396292" w14:textId="3FBC7294" w:rsidR="000A0430" w:rsidRPr="00433CB8" w:rsidRDefault="000A0430" w:rsidP="000A0430">
            <w:r w:rsidRPr="00495E8B">
              <w:t xml:space="preserve"> - 4.7 - Waiver of Informed Consent for Minimal Risk </w:t>
            </w:r>
          </w:p>
        </w:tc>
      </w:tr>
      <w:tr w:rsidR="000A0430" w14:paraId="58FBA32E" w14:textId="77777777" w:rsidTr="00AD42AF">
        <w:tc>
          <w:tcPr>
            <w:tcW w:w="5310" w:type="dxa"/>
            <w:shd w:val="clear" w:color="auto" w:fill="D9E2F3" w:themeFill="accent1" w:themeFillTint="33"/>
          </w:tcPr>
          <w:p w14:paraId="313BB9A7" w14:textId="056B4FF6" w:rsidR="000A0430" w:rsidRPr="000A0430" w:rsidRDefault="000A0430" w:rsidP="000A0430">
            <w:pPr>
              <w:rPr>
                <w:b/>
              </w:rPr>
            </w:pPr>
            <w:r w:rsidRPr="000A0430">
              <w:rPr>
                <w:b/>
              </w:rPr>
              <w:t>Study Scope</w:t>
            </w:r>
            <w:r w:rsidR="00AD42AF">
              <w:rPr>
                <w:b/>
              </w:rPr>
              <w:t xml:space="preserve"> branches</w:t>
            </w:r>
            <w:r w:rsidRPr="000A0430">
              <w:rPr>
                <w:b/>
              </w:rPr>
              <w:t xml:space="preserve"> to </w:t>
            </w:r>
            <w:r w:rsidR="00813A8B" w:rsidRPr="000A0430">
              <w:rPr>
                <w:b/>
              </w:rPr>
              <w:t>Waiver</w:t>
            </w:r>
            <w:r w:rsidR="00CE05AF">
              <w:rPr>
                <w:b/>
              </w:rPr>
              <w:t xml:space="preserve"> to Document</w:t>
            </w:r>
            <w:r w:rsidR="00813A8B" w:rsidRPr="000A0430">
              <w:rPr>
                <w:b/>
              </w:rPr>
              <w:t xml:space="preserve"> Consent</w:t>
            </w:r>
          </w:p>
        </w:tc>
        <w:tc>
          <w:tcPr>
            <w:tcW w:w="6030" w:type="dxa"/>
            <w:shd w:val="clear" w:color="auto" w:fill="FFF2CC" w:themeFill="accent4" w:themeFillTint="33"/>
          </w:tcPr>
          <w:p w14:paraId="5B4DF6A3" w14:textId="4F2384AC" w:rsidR="000A0430" w:rsidRPr="00433CB8" w:rsidRDefault="000A0430" w:rsidP="000A0430">
            <w:r w:rsidRPr="00714205">
              <w:t xml:space="preserve"> - 4.6 - Waiver for Signed Informed Consent</w:t>
            </w:r>
          </w:p>
        </w:tc>
      </w:tr>
      <w:tr w:rsidR="000A0430" w14:paraId="3711824E" w14:textId="77777777" w:rsidTr="00AD42AF">
        <w:tc>
          <w:tcPr>
            <w:tcW w:w="5310" w:type="dxa"/>
            <w:shd w:val="clear" w:color="auto" w:fill="D9E2F3" w:themeFill="accent1" w:themeFillTint="33"/>
          </w:tcPr>
          <w:p w14:paraId="0C208FCF" w14:textId="404E27BB" w:rsidR="000A0430" w:rsidRPr="000A0430" w:rsidRDefault="000A0430" w:rsidP="000A0430">
            <w:pPr>
              <w:rPr>
                <w:b/>
              </w:rPr>
            </w:pPr>
            <w:r w:rsidRPr="000A0430">
              <w:rPr>
                <w:b/>
              </w:rPr>
              <w:t xml:space="preserve">Study Scope </w:t>
            </w:r>
            <w:r w:rsidR="00AD42AF">
              <w:rPr>
                <w:b/>
              </w:rPr>
              <w:t xml:space="preserve">branches </w:t>
            </w:r>
            <w:r w:rsidR="002C3EB8">
              <w:rPr>
                <w:b/>
              </w:rPr>
              <w:t>to</w:t>
            </w:r>
            <w:r w:rsidRPr="000A0430">
              <w:rPr>
                <w:b/>
              </w:rPr>
              <w:t xml:space="preserve"> </w:t>
            </w:r>
            <w:r w:rsidR="002C3EB8">
              <w:rPr>
                <w:b/>
              </w:rPr>
              <w:t xml:space="preserve">Waiver/Alteration of HIPAA Authorization </w:t>
            </w:r>
          </w:p>
        </w:tc>
        <w:tc>
          <w:tcPr>
            <w:tcW w:w="6030" w:type="dxa"/>
            <w:shd w:val="clear" w:color="auto" w:fill="FFF2CC" w:themeFill="accent4" w:themeFillTint="33"/>
          </w:tcPr>
          <w:p w14:paraId="5839A8E7" w14:textId="1B064C8A" w:rsidR="000A0430" w:rsidRPr="000A0430" w:rsidRDefault="000A0430" w:rsidP="000A0430">
            <w:pPr>
              <w:rPr>
                <w:highlight w:val="green"/>
              </w:rPr>
            </w:pPr>
            <w:r w:rsidRPr="00B436B8">
              <w:t xml:space="preserve"> - 2.14</w:t>
            </w:r>
            <w:r w:rsidR="002C3EB8">
              <w:t>.2</w:t>
            </w:r>
            <w:r w:rsidRPr="00B436B8">
              <w:t xml:space="preserve"> - HIPAA </w:t>
            </w:r>
            <w:r w:rsidR="002C3EB8">
              <w:t>Waiver</w:t>
            </w:r>
          </w:p>
        </w:tc>
      </w:tr>
      <w:tr w:rsidR="00F8478B" w14:paraId="1517E932" w14:textId="77777777" w:rsidTr="00AD42AF">
        <w:tc>
          <w:tcPr>
            <w:tcW w:w="5310" w:type="dxa"/>
            <w:shd w:val="clear" w:color="auto" w:fill="D9E2F3" w:themeFill="accent1" w:themeFillTint="33"/>
          </w:tcPr>
          <w:p w14:paraId="713A270D" w14:textId="77777777" w:rsidR="00F8478B" w:rsidRPr="000A0430" w:rsidRDefault="00F8478B" w:rsidP="007A7CC1">
            <w:pPr>
              <w:rPr>
                <w:b/>
              </w:rPr>
            </w:pPr>
          </w:p>
        </w:tc>
        <w:tc>
          <w:tcPr>
            <w:tcW w:w="6030" w:type="dxa"/>
            <w:shd w:val="clear" w:color="auto" w:fill="FFF2CC" w:themeFill="accent4" w:themeFillTint="33"/>
          </w:tcPr>
          <w:p w14:paraId="5EF917EE" w14:textId="77777777" w:rsidR="00F8478B" w:rsidRPr="00433CB8" w:rsidRDefault="00F8478B" w:rsidP="007A7CC1"/>
        </w:tc>
      </w:tr>
      <w:tr w:rsidR="000A0430" w14:paraId="66F7ED6F" w14:textId="77777777" w:rsidTr="00AD42AF">
        <w:tc>
          <w:tcPr>
            <w:tcW w:w="5310" w:type="dxa"/>
            <w:shd w:val="clear" w:color="auto" w:fill="D9E2F3" w:themeFill="accent1" w:themeFillTint="33"/>
          </w:tcPr>
          <w:p w14:paraId="5616946A" w14:textId="539B672F" w:rsidR="000A0430" w:rsidRPr="000A0430" w:rsidRDefault="000A0430" w:rsidP="000A0430">
            <w:pPr>
              <w:rPr>
                <w:b/>
              </w:rPr>
            </w:pPr>
            <w:r w:rsidRPr="000A0430">
              <w:rPr>
                <w:b/>
              </w:rPr>
              <w:t xml:space="preserve">Study Scope </w:t>
            </w:r>
            <w:r w:rsidR="00AD42AF">
              <w:rPr>
                <w:b/>
              </w:rPr>
              <w:t>branches</w:t>
            </w:r>
            <w:r w:rsidR="00AD42AF" w:rsidRPr="000A0430">
              <w:rPr>
                <w:b/>
              </w:rPr>
              <w:t xml:space="preserve"> </w:t>
            </w:r>
            <w:r w:rsidRPr="000A0430">
              <w:rPr>
                <w:b/>
              </w:rPr>
              <w:t>to Data &amp; Specimens</w:t>
            </w:r>
          </w:p>
        </w:tc>
        <w:tc>
          <w:tcPr>
            <w:tcW w:w="6030" w:type="dxa"/>
            <w:shd w:val="clear" w:color="auto" w:fill="FFF2CC" w:themeFill="accent4" w:themeFillTint="33"/>
          </w:tcPr>
          <w:p w14:paraId="3B487D33" w14:textId="447E497E" w:rsidR="000A0430" w:rsidRPr="00433CB8" w:rsidRDefault="000A0430" w:rsidP="000A0430">
            <w:r w:rsidRPr="00D24EA6">
              <w:t xml:space="preserve"> </w:t>
            </w:r>
            <w:r w:rsidRPr="002C3EB8">
              <w:t>- 2.15 - Collection and Banking of Tissue or Biological Specimens</w:t>
            </w:r>
          </w:p>
        </w:tc>
      </w:tr>
      <w:tr w:rsidR="000A0430" w14:paraId="47055A73" w14:textId="77777777" w:rsidTr="00AD42AF">
        <w:tc>
          <w:tcPr>
            <w:tcW w:w="5310" w:type="dxa"/>
            <w:shd w:val="clear" w:color="auto" w:fill="D9E2F3" w:themeFill="accent1" w:themeFillTint="33"/>
          </w:tcPr>
          <w:p w14:paraId="2B6590DD" w14:textId="2183D0D3" w:rsidR="000A0430" w:rsidRPr="000A0430" w:rsidRDefault="000A0430" w:rsidP="000A0430">
            <w:pPr>
              <w:rPr>
                <w:b/>
              </w:rPr>
            </w:pPr>
            <w:r w:rsidRPr="000A0430">
              <w:rPr>
                <w:b/>
              </w:rPr>
              <w:t xml:space="preserve">Study Scope </w:t>
            </w:r>
            <w:r w:rsidR="00AD42AF">
              <w:rPr>
                <w:b/>
              </w:rPr>
              <w:t>branches</w:t>
            </w:r>
            <w:r w:rsidR="00AD42AF" w:rsidRPr="000A0430">
              <w:rPr>
                <w:b/>
              </w:rPr>
              <w:t xml:space="preserve"> </w:t>
            </w:r>
            <w:r w:rsidRPr="000A0430">
              <w:rPr>
                <w:b/>
              </w:rPr>
              <w:t xml:space="preserve">to Honest Broker </w:t>
            </w:r>
          </w:p>
        </w:tc>
        <w:tc>
          <w:tcPr>
            <w:tcW w:w="6030" w:type="dxa"/>
            <w:shd w:val="clear" w:color="auto" w:fill="FFF2CC" w:themeFill="accent4" w:themeFillTint="33"/>
          </w:tcPr>
          <w:p w14:paraId="72732953" w14:textId="78AD61C1" w:rsidR="000A0430" w:rsidRPr="00433CB8" w:rsidRDefault="000A0430" w:rsidP="000A0430">
            <w:r w:rsidRPr="008B7365">
              <w:t xml:space="preserve"> - 2.13 - Honest Broker for De-Identification</w:t>
            </w:r>
          </w:p>
        </w:tc>
      </w:tr>
      <w:tr w:rsidR="000A0430" w14:paraId="689F6B41" w14:textId="77777777" w:rsidTr="00AD42AF">
        <w:tc>
          <w:tcPr>
            <w:tcW w:w="5310" w:type="dxa"/>
            <w:shd w:val="clear" w:color="auto" w:fill="D9E2F3" w:themeFill="accent1" w:themeFillTint="33"/>
          </w:tcPr>
          <w:p w14:paraId="5083B60E" w14:textId="618AE4F5" w:rsidR="000A0430" w:rsidRPr="000A0430" w:rsidRDefault="000A0430" w:rsidP="007A7CC1">
            <w:pPr>
              <w:rPr>
                <w:b/>
              </w:rPr>
            </w:pPr>
            <w:r w:rsidRPr="00AD0C80">
              <w:rPr>
                <w:b/>
              </w:rPr>
              <w:t>Study Scope</w:t>
            </w:r>
            <w:r w:rsidR="00AD42AF">
              <w:rPr>
                <w:b/>
              </w:rPr>
              <w:t xml:space="preserve"> branches</w:t>
            </w:r>
            <w:r w:rsidRPr="00AD0C80">
              <w:rPr>
                <w:b/>
              </w:rPr>
              <w:t xml:space="preserve"> to Return of Results</w:t>
            </w:r>
          </w:p>
        </w:tc>
        <w:tc>
          <w:tcPr>
            <w:tcW w:w="6030" w:type="dxa"/>
            <w:shd w:val="clear" w:color="auto" w:fill="FFF2CC" w:themeFill="accent4" w:themeFillTint="33"/>
          </w:tcPr>
          <w:p w14:paraId="19AF18DC" w14:textId="77777777" w:rsidR="000A0430" w:rsidRDefault="00AD0C80" w:rsidP="00AD0C80">
            <w:r>
              <w:t xml:space="preserve">-  </w:t>
            </w:r>
            <w:r w:rsidRPr="00AD0C80">
              <w:t xml:space="preserve">2.15.4 </w:t>
            </w:r>
            <w:r>
              <w:t xml:space="preserve">- </w:t>
            </w:r>
            <w:r w:rsidRPr="00AD0C80">
              <w:t>Results from analyses performed on their biological specimens</w:t>
            </w:r>
          </w:p>
          <w:p w14:paraId="67EC2048" w14:textId="530DDB3E" w:rsidR="00AD0C80" w:rsidRPr="00433CB8" w:rsidRDefault="00AD0C80" w:rsidP="00AD0C80">
            <w:r>
              <w:t xml:space="preserve">- </w:t>
            </w:r>
            <w:r w:rsidRPr="00AD0C80">
              <w:t>4.14</w:t>
            </w:r>
            <w:r>
              <w:t xml:space="preserve"> - O</w:t>
            </w:r>
            <w:r w:rsidRPr="00AD0C80">
              <w:t>utcome of this research study following its completion</w:t>
            </w:r>
          </w:p>
        </w:tc>
      </w:tr>
      <w:tr w:rsidR="000A0430" w14:paraId="1AA2BA1C" w14:textId="77777777" w:rsidTr="00AD42AF">
        <w:tc>
          <w:tcPr>
            <w:tcW w:w="5310" w:type="dxa"/>
            <w:shd w:val="clear" w:color="auto" w:fill="D9E2F3" w:themeFill="accent1" w:themeFillTint="33"/>
          </w:tcPr>
          <w:p w14:paraId="3F3F5599" w14:textId="16A444FA" w:rsidR="000A0430" w:rsidRPr="000A0430" w:rsidRDefault="000A0430" w:rsidP="000A0430">
            <w:pPr>
              <w:rPr>
                <w:b/>
                <w:highlight w:val="green"/>
              </w:rPr>
            </w:pPr>
            <w:r w:rsidRPr="000A0430">
              <w:rPr>
                <w:b/>
              </w:rPr>
              <w:t>Study Scope</w:t>
            </w:r>
            <w:r w:rsidR="00AD42AF">
              <w:rPr>
                <w:b/>
              </w:rPr>
              <w:t xml:space="preserve"> branches</w:t>
            </w:r>
            <w:r w:rsidRPr="000A0430">
              <w:rPr>
                <w:b/>
              </w:rPr>
              <w:t xml:space="preserve"> to Fetal Tissue </w:t>
            </w:r>
          </w:p>
        </w:tc>
        <w:tc>
          <w:tcPr>
            <w:tcW w:w="6030" w:type="dxa"/>
            <w:shd w:val="clear" w:color="auto" w:fill="FFF2CC" w:themeFill="accent4" w:themeFillTint="33"/>
          </w:tcPr>
          <w:p w14:paraId="7BC39E74" w14:textId="659255DB" w:rsidR="000A0430" w:rsidRPr="00433CB8" w:rsidRDefault="000A0430" w:rsidP="000A0430">
            <w:r w:rsidRPr="00672AC7">
              <w:t xml:space="preserve"> - 3.9 - Involvement of Fetal Tissues or Organs</w:t>
            </w:r>
          </w:p>
        </w:tc>
      </w:tr>
      <w:tr w:rsidR="000A0430" w14:paraId="5FBB3D9E" w14:textId="77777777" w:rsidTr="00AD42AF">
        <w:tc>
          <w:tcPr>
            <w:tcW w:w="5310" w:type="dxa"/>
            <w:shd w:val="clear" w:color="auto" w:fill="D9E2F3" w:themeFill="accent1" w:themeFillTint="33"/>
          </w:tcPr>
          <w:p w14:paraId="440AC8AF" w14:textId="77777777" w:rsidR="000A0430" w:rsidRPr="000A0430" w:rsidRDefault="000A0430" w:rsidP="007A7CC1">
            <w:pPr>
              <w:rPr>
                <w:b/>
                <w:highlight w:val="green"/>
              </w:rPr>
            </w:pPr>
          </w:p>
        </w:tc>
        <w:tc>
          <w:tcPr>
            <w:tcW w:w="6030" w:type="dxa"/>
            <w:shd w:val="clear" w:color="auto" w:fill="FFF2CC" w:themeFill="accent4" w:themeFillTint="33"/>
          </w:tcPr>
          <w:p w14:paraId="6CC1BEA2" w14:textId="77777777" w:rsidR="000A0430" w:rsidRPr="00433CB8" w:rsidRDefault="000A0430" w:rsidP="007A7CC1"/>
        </w:tc>
      </w:tr>
      <w:tr w:rsidR="000A0430" w14:paraId="638A0E71" w14:textId="77777777" w:rsidTr="00AD42AF">
        <w:tc>
          <w:tcPr>
            <w:tcW w:w="5310" w:type="dxa"/>
            <w:shd w:val="clear" w:color="auto" w:fill="D9E2F3" w:themeFill="accent1" w:themeFillTint="33"/>
          </w:tcPr>
          <w:p w14:paraId="68C9C1ED" w14:textId="384D74B0" w:rsidR="000A0430" w:rsidRPr="000A0430" w:rsidRDefault="000A0430" w:rsidP="007A7CC1">
            <w:pPr>
              <w:rPr>
                <w:b/>
                <w:highlight w:val="green"/>
              </w:rPr>
            </w:pPr>
            <w:r w:rsidRPr="002C3EB8">
              <w:rPr>
                <w:b/>
              </w:rPr>
              <w:t>Study Scope</w:t>
            </w:r>
            <w:r w:rsidR="00AD42AF">
              <w:rPr>
                <w:b/>
              </w:rPr>
              <w:t xml:space="preserve"> branches</w:t>
            </w:r>
            <w:r w:rsidRPr="002C3EB8">
              <w:rPr>
                <w:b/>
              </w:rPr>
              <w:t xml:space="preserve"> to Medical Records</w:t>
            </w:r>
          </w:p>
        </w:tc>
        <w:tc>
          <w:tcPr>
            <w:tcW w:w="6030" w:type="dxa"/>
            <w:shd w:val="clear" w:color="auto" w:fill="FFF2CC" w:themeFill="accent4" w:themeFillTint="33"/>
          </w:tcPr>
          <w:p w14:paraId="1F218222" w14:textId="15A9F7C0" w:rsidR="000A0430" w:rsidRPr="00433CB8" w:rsidRDefault="002C3EB8" w:rsidP="002C3EB8">
            <w:r>
              <w:t>- 2.14 – UPMC/Pitt Protected Health Information</w:t>
            </w:r>
          </w:p>
        </w:tc>
      </w:tr>
      <w:tr w:rsidR="000A0430" w14:paraId="30731883" w14:textId="77777777" w:rsidTr="00AD42AF">
        <w:tc>
          <w:tcPr>
            <w:tcW w:w="5310" w:type="dxa"/>
            <w:shd w:val="clear" w:color="auto" w:fill="D9E2F3" w:themeFill="accent1" w:themeFillTint="33"/>
          </w:tcPr>
          <w:p w14:paraId="5571000F" w14:textId="77777777" w:rsidR="000A0430" w:rsidRPr="000A0430" w:rsidRDefault="000A0430" w:rsidP="007A7CC1">
            <w:pPr>
              <w:rPr>
                <w:b/>
                <w:highlight w:val="green"/>
              </w:rPr>
            </w:pPr>
          </w:p>
        </w:tc>
        <w:tc>
          <w:tcPr>
            <w:tcW w:w="6030" w:type="dxa"/>
            <w:shd w:val="clear" w:color="auto" w:fill="FFF2CC" w:themeFill="accent4" w:themeFillTint="33"/>
          </w:tcPr>
          <w:p w14:paraId="6B1C1C35" w14:textId="77777777" w:rsidR="000A0430" w:rsidRPr="00433CB8" w:rsidRDefault="000A0430" w:rsidP="007A7CC1"/>
        </w:tc>
      </w:tr>
      <w:tr w:rsidR="000A0430" w14:paraId="5859BDDD" w14:textId="77777777" w:rsidTr="00AD42AF">
        <w:tc>
          <w:tcPr>
            <w:tcW w:w="5310" w:type="dxa"/>
            <w:shd w:val="clear" w:color="auto" w:fill="D9E2F3" w:themeFill="accent1" w:themeFillTint="33"/>
          </w:tcPr>
          <w:p w14:paraId="0F78F366" w14:textId="3782ED6D" w:rsidR="000A0430" w:rsidRPr="000A0430" w:rsidRDefault="000A0430" w:rsidP="000A0430">
            <w:pPr>
              <w:rPr>
                <w:b/>
                <w:highlight w:val="green"/>
              </w:rPr>
            </w:pPr>
            <w:r w:rsidRPr="000A0430">
              <w:rPr>
                <w:b/>
              </w:rPr>
              <w:t>Study Scope</w:t>
            </w:r>
            <w:r w:rsidR="00AD42AF">
              <w:rPr>
                <w:b/>
              </w:rPr>
              <w:t xml:space="preserve"> branches</w:t>
            </w:r>
            <w:r w:rsidRPr="000A0430">
              <w:rPr>
                <w:b/>
              </w:rPr>
              <w:t xml:space="preserve"> to Deception </w:t>
            </w:r>
          </w:p>
        </w:tc>
        <w:tc>
          <w:tcPr>
            <w:tcW w:w="6030" w:type="dxa"/>
            <w:shd w:val="clear" w:color="auto" w:fill="FFF2CC" w:themeFill="accent4" w:themeFillTint="33"/>
          </w:tcPr>
          <w:p w14:paraId="2E1E3811" w14:textId="2313F96A" w:rsidR="000A0430" w:rsidRPr="00433CB8" w:rsidRDefault="000A0430" w:rsidP="000A0430">
            <w:r w:rsidRPr="00AE6A6E">
              <w:t xml:space="preserve"> - 2.12 - Planned Deception</w:t>
            </w:r>
          </w:p>
        </w:tc>
      </w:tr>
      <w:tr w:rsidR="00A11642" w14:paraId="47C9D888" w14:textId="77777777" w:rsidTr="00AD42AF">
        <w:tc>
          <w:tcPr>
            <w:tcW w:w="5310" w:type="dxa"/>
            <w:shd w:val="clear" w:color="auto" w:fill="D9E2F3" w:themeFill="accent1" w:themeFillTint="33"/>
          </w:tcPr>
          <w:p w14:paraId="48694D97" w14:textId="5B2EE597" w:rsidR="00A11642" w:rsidRPr="000A0430" w:rsidRDefault="00A11642" w:rsidP="00A11642">
            <w:pPr>
              <w:rPr>
                <w:b/>
              </w:rPr>
            </w:pPr>
            <w:r w:rsidRPr="00380F51">
              <w:rPr>
                <w:b/>
              </w:rPr>
              <w:t>Study Scope</w:t>
            </w:r>
            <w:r w:rsidR="00AD42AF">
              <w:rPr>
                <w:b/>
              </w:rPr>
              <w:t xml:space="preserve"> branches</w:t>
            </w:r>
            <w:r w:rsidRPr="00380F51">
              <w:rPr>
                <w:b/>
              </w:rPr>
              <w:t xml:space="preserve"> to Placebo</w:t>
            </w:r>
          </w:p>
        </w:tc>
        <w:tc>
          <w:tcPr>
            <w:tcW w:w="6030" w:type="dxa"/>
            <w:shd w:val="clear" w:color="auto" w:fill="FFF2CC" w:themeFill="accent4" w:themeFillTint="33"/>
          </w:tcPr>
          <w:p w14:paraId="0AD27B1E" w14:textId="05BB6A6C" w:rsidR="00A11642" w:rsidRPr="00AE6A6E" w:rsidRDefault="00A11642" w:rsidP="00A11642">
            <w:r w:rsidRPr="00AE6A6E">
              <w:t xml:space="preserve"> - 2.</w:t>
            </w:r>
            <w:r>
              <w:t>3.1</w:t>
            </w:r>
            <w:r w:rsidRPr="00AE6A6E">
              <w:t xml:space="preserve"> </w:t>
            </w:r>
            <w:r w:rsidR="00380F51">
              <w:t>–</w:t>
            </w:r>
            <w:r w:rsidRPr="00AE6A6E">
              <w:t xml:space="preserve"> Pl</w:t>
            </w:r>
            <w:r w:rsidR="00380F51">
              <w:t>acebo-controlled Arm</w:t>
            </w:r>
          </w:p>
        </w:tc>
      </w:tr>
      <w:tr w:rsidR="00A11642" w14:paraId="0028DE36" w14:textId="77777777" w:rsidTr="00AD42AF">
        <w:tc>
          <w:tcPr>
            <w:tcW w:w="5310" w:type="dxa"/>
            <w:shd w:val="clear" w:color="auto" w:fill="D9E2F3" w:themeFill="accent1" w:themeFillTint="33"/>
          </w:tcPr>
          <w:p w14:paraId="54BE3360" w14:textId="50E950B8" w:rsidR="00A11642" w:rsidRPr="000A0430" w:rsidRDefault="00A11642" w:rsidP="00A11642">
            <w:pPr>
              <w:rPr>
                <w:b/>
                <w:highlight w:val="green"/>
              </w:rPr>
            </w:pPr>
            <w:r w:rsidRPr="000A0430">
              <w:rPr>
                <w:b/>
              </w:rPr>
              <w:t>Study Scope</w:t>
            </w:r>
            <w:r w:rsidR="00AD42AF">
              <w:rPr>
                <w:b/>
              </w:rPr>
              <w:t xml:space="preserve"> branches</w:t>
            </w:r>
            <w:r w:rsidRPr="000A0430">
              <w:rPr>
                <w:b/>
              </w:rPr>
              <w:t xml:space="preserve"> to Withdraw from Usual Care </w:t>
            </w:r>
          </w:p>
        </w:tc>
        <w:tc>
          <w:tcPr>
            <w:tcW w:w="6030" w:type="dxa"/>
            <w:shd w:val="clear" w:color="auto" w:fill="FFF2CC" w:themeFill="accent4" w:themeFillTint="33"/>
          </w:tcPr>
          <w:p w14:paraId="1FC5BE79" w14:textId="0BCCA11F" w:rsidR="00A11642" w:rsidRPr="00AE6A6E" w:rsidRDefault="00A11642" w:rsidP="00A11642">
            <w:r w:rsidRPr="008D4955">
              <w:t xml:space="preserve"> - 2.4 - Subjects Withdrawn from Effective Therapy</w:t>
            </w:r>
          </w:p>
        </w:tc>
      </w:tr>
      <w:tr w:rsidR="00A11642" w14:paraId="04609530" w14:textId="77777777" w:rsidTr="00AD42AF">
        <w:tc>
          <w:tcPr>
            <w:tcW w:w="5310" w:type="dxa"/>
            <w:shd w:val="clear" w:color="auto" w:fill="D9E2F3" w:themeFill="accent1" w:themeFillTint="33"/>
          </w:tcPr>
          <w:p w14:paraId="4CECE2A8" w14:textId="77777777" w:rsidR="00A11642" w:rsidRPr="000A0430" w:rsidRDefault="00A11642" w:rsidP="00A11642">
            <w:pPr>
              <w:rPr>
                <w:b/>
                <w:highlight w:val="green"/>
              </w:rPr>
            </w:pPr>
          </w:p>
        </w:tc>
        <w:tc>
          <w:tcPr>
            <w:tcW w:w="6030" w:type="dxa"/>
            <w:shd w:val="clear" w:color="auto" w:fill="FFF2CC" w:themeFill="accent4" w:themeFillTint="33"/>
          </w:tcPr>
          <w:p w14:paraId="36C02538" w14:textId="77777777" w:rsidR="00A11642" w:rsidRPr="00AE6A6E" w:rsidRDefault="00A11642" w:rsidP="00A11642"/>
        </w:tc>
      </w:tr>
      <w:tr w:rsidR="00A11642" w14:paraId="755D24CC" w14:textId="77777777" w:rsidTr="00AD42AF">
        <w:tc>
          <w:tcPr>
            <w:tcW w:w="5310" w:type="dxa"/>
            <w:shd w:val="clear" w:color="auto" w:fill="D9E2F3" w:themeFill="accent1" w:themeFillTint="33"/>
          </w:tcPr>
          <w:p w14:paraId="28BDFED9" w14:textId="149F3F55" w:rsidR="00A11642" w:rsidRPr="00AD60C3" w:rsidRDefault="00A11642" w:rsidP="00A11642">
            <w:pPr>
              <w:rPr>
                <w:b/>
              </w:rPr>
            </w:pPr>
            <w:r w:rsidRPr="00AD60C3">
              <w:rPr>
                <w:b/>
              </w:rPr>
              <w:t>Study Scope</w:t>
            </w:r>
          </w:p>
        </w:tc>
        <w:tc>
          <w:tcPr>
            <w:tcW w:w="6030" w:type="dxa"/>
            <w:shd w:val="clear" w:color="auto" w:fill="FFF2CC" w:themeFill="accent4" w:themeFillTint="33"/>
          </w:tcPr>
          <w:p w14:paraId="1BE683DB" w14:textId="3C4D4BD3" w:rsidR="00A11642" w:rsidRPr="00834609" w:rsidRDefault="00A11642" w:rsidP="00A11642">
            <w:r w:rsidRPr="00433CB8">
              <w:t xml:space="preserve"> - Cover Sheet 8.0 - Scientific Review</w:t>
            </w:r>
          </w:p>
        </w:tc>
      </w:tr>
      <w:tr w:rsidR="00A11642" w14:paraId="46EC3B04" w14:textId="77777777" w:rsidTr="00AD42AF">
        <w:tc>
          <w:tcPr>
            <w:tcW w:w="5310" w:type="dxa"/>
            <w:shd w:val="clear" w:color="auto" w:fill="D9E2F3" w:themeFill="accent1" w:themeFillTint="33"/>
          </w:tcPr>
          <w:p w14:paraId="3A533098" w14:textId="77777777" w:rsidR="00A11642" w:rsidRPr="00AD60C3" w:rsidRDefault="00A11642" w:rsidP="00A11642">
            <w:pPr>
              <w:rPr>
                <w:b/>
              </w:rPr>
            </w:pPr>
          </w:p>
        </w:tc>
        <w:tc>
          <w:tcPr>
            <w:tcW w:w="6030" w:type="dxa"/>
            <w:shd w:val="clear" w:color="auto" w:fill="FFF2CC" w:themeFill="accent4" w:themeFillTint="33"/>
          </w:tcPr>
          <w:p w14:paraId="247C12DC" w14:textId="77777777" w:rsidR="00A11642" w:rsidRPr="00433CB8" w:rsidRDefault="00A11642" w:rsidP="00A11642"/>
        </w:tc>
      </w:tr>
      <w:tr w:rsidR="00A11642" w14:paraId="6489E66A" w14:textId="77777777" w:rsidTr="00AD42AF">
        <w:tc>
          <w:tcPr>
            <w:tcW w:w="5310" w:type="dxa"/>
            <w:shd w:val="clear" w:color="auto" w:fill="D9E2F3" w:themeFill="accent1" w:themeFillTint="33"/>
          </w:tcPr>
          <w:p w14:paraId="04EF75CE" w14:textId="14729B1D" w:rsidR="00A11642" w:rsidRPr="00AD60C3" w:rsidRDefault="00A11642" w:rsidP="00A11642">
            <w:pPr>
              <w:rPr>
                <w:b/>
              </w:rPr>
            </w:pPr>
            <w:r>
              <w:rPr>
                <w:b/>
              </w:rPr>
              <w:t xml:space="preserve">Study Scope </w:t>
            </w:r>
            <w:r w:rsidR="00AD42AF">
              <w:rPr>
                <w:b/>
              </w:rPr>
              <w:t xml:space="preserve">branches </w:t>
            </w:r>
            <w:r>
              <w:rPr>
                <w:b/>
              </w:rPr>
              <w:t>to Drug</w:t>
            </w:r>
            <w:r w:rsidR="00AB07C7">
              <w:rPr>
                <w:b/>
              </w:rPr>
              <w:t>s</w:t>
            </w:r>
          </w:p>
        </w:tc>
        <w:tc>
          <w:tcPr>
            <w:tcW w:w="6030" w:type="dxa"/>
            <w:shd w:val="clear" w:color="auto" w:fill="FFF2CC" w:themeFill="accent4" w:themeFillTint="33"/>
          </w:tcPr>
          <w:p w14:paraId="02F5B1BE" w14:textId="77777777" w:rsidR="00A11642" w:rsidRDefault="00A11642" w:rsidP="00A11642">
            <w:r>
              <w:t xml:space="preserve">- Cover Sheet 9.0 - 10.1 - Investigational Drug, IND and IDE </w:t>
            </w:r>
          </w:p>
          <w:p w14:paraId="718709A5" w14:textId="022C8F19" w:rsidR="00A11642" w:rsidRPr="00433CB8" w:rsidRDefault="00A11642" w:rsidP="00A11642">
            <w:r>
              <w:t>- 2.1 - Evaluation of Drug, Biological or Nutritional Supplement</w:t>
            </w:r>
          </w:p>
        </w:tc>
      </w:tr>
      <w:tr w:rsidR="00A11642" w14:paraId="5E7717C1" w14:textId="77777777" w:rsidTr="00AD42AF">
        <w:tc>
          <w:tcPr>
            <w:tcW w:w="5310" w:type="dxa"/>
            <w:shd w:val="clear" w:color="auto" w:fill="D9E2F3" w:themeFill="accent1" w:themeFillTint="33"/>
          </w:tcPr>
          <w:p w14:paraId="542D19C8" w14:textId="77777777" w:rsidR="00A11642" w:rsidRDefault="00A11642" w:rsidP="00A11642">
            <w:pPr>
              <w:rPr>
                <w:b/>
              </w:rPr>
            </w:pPr>
          </w:p>
        </w:tc>
        <w:tc>
          <w:tcPr>
            <w:tcW w:w="6030" w:type="dxa"/>
            <w:shd w:val="clear" w:color="auto" w:fill="FFF2CC" w:themeFill="accent4" w:themeFillTint="33"/>
          </w:tcPr>
          <w:p w14:paraId="6142E5CF" w14:textId="77777777" w:rsidR="00A11642" w:rsidRPr="00433CB8" w:rsidRDefault="00A11642" w:rsidP="00A11642"/>
        </w:tc>
      </w:tr>
      <w:tr w:rsidR="00A11642" w14:paraId="5350F17F" w14:textId="77777777" w:rsidTr="00AD42AF">
        <w:tc>
          <w:tcPr>
            <w:tcW w:w="5310" w:type="dxa"/>
            <w:shd w:val="clear" w:color="auto" w:fill="D9E2F3" w:themeFill="accent1" w:themeFillTint="33"/>
          </w:tcPr>
          <w:p w14:paraId="36FAA0AE" w14:textId="48A2060E" w:rsidR="00A11642" w:rsidRDefault="00A11642" w:rsidP="00A11642">
            <w:pPr>
              <w:rPr>
                <w:b/>
              </w:rPr>
            </w:pPr>
            <w:r>
              <w:rPr>
                <w:b/>
              </w:rPr>
              <w:t xml:space="preserve">Study Scope </w:t>
            </w:r>
            <w:r w:rsidR="00AD42AF">
              <w:rPr>
                <w:b/>
              </w:rPr>
              <w:t xml:space="preserve">branches </w:t>
            </w:r>
            <w:r>
              <w:rPr>
                <w:b/>
              </w:rPr>
              <w:t>to Device</w:t>
            </w:r>
            <w:r w:rsidR="00AB07C7">
              <w:rPr>
                <w:b/>
              </w:rPr>
              <w:t>s</w:t>
            </w:r>
          </w:p>
        </w:tc>
        <w:tc>
          <w:tcPr>
            <w:tcW w:w="6030" w:type="dxa"/>
            <w:shd w:val="clear" w:color="auto" w:fill="FFF2CC" w:themeFill="accent4" w:themeFillTint="33"/>
          </w:tcPr>
          <w:p w14:paraId="37B219AB" w14:textId="77777777" w:rsidR="00A11642" w:rsidRDefault="00A11642" w:rsidP="00A11642">
            <w:r>
              <w:t xml:space="preserve">- Cover Sheet 9.0 - 10.1 - Investigational Drug, IND and IDE </w:t>
            </w:r>
          </w:p>
          <w:p w14:paraId="47F313F1" w14:textId="4B75C82C" w:rsidR="00A11642" w:rsidRPr="00433CB8" w:rsidRDefault="00A11642" w:rsidP="00A11642">
            <w:r>
              <w:t>- 2.2 - Evaluation of Device for Safety/Effectiveness</w:t>
            </w:r>
          </w:p>
        </w:tc>
      </w:tr>
      <w:tr w:rsidR="00A11642" w14:paraId="0C5FECBB" w14:textId="77777777" w:rsidTr="00AD42AF">
        <w:tc>
          <w:tcPr>
            <w:tcW w:w="5310" w:type="dxa"/>
            <w:shd w:val="clear" w:color="auto" w:fill="D9E2F3" w:themeFill="accent1" w:themeFillTint="33"/>
          </w:tcPr>
          <w:p w14:paraId="69EF9742" w14:textId="77777777" w:rsidR="00A11642" w:rsidRDefault="00A11642" w:rsidP="00A11642">
            <w:pPr>
              <w:rPr>
                <w:b/>
              </w:rPr>
            </w:pPr>
          </w:p>
        </w:tc>
        <w:tc>
          <w:tcPr>
            <w:tcW w:w="6030" w:type="dxa"/>
            <w:shd w:val="clear" w:color="auto" w:fill="FFF2CC" w:themeFill="accent4" w:themeFillTint="33"/>
          </w:tcPr>
          <w:p w14:paraId="278AA16F" w14:textId="77777777" w:rsidR="00A11642" w:rsidRPr="00433CB8" w:rsidRDefault="00A11642" w:rsidP="00A11642"/>
        </w:tc>
      </w:tr>
      <w:tr w:rsidR="00A11642" w14:paraId="10248C11" w14:textId="77777777" w:rsidTr="00AD42AF">
        <w:trPr>
          <w:trHeight w:val="826"/>
        </w:trPr>
        <w:tc>
          <w:tcPr>
            <w:tcW w:w="5310" w:type="dxa"/>
            <w:shd w:val="clear" w:color="auto" w:fill="D9E2F3" w:themeFill="accent1" w:themeFillTint="33"/>
          </w:tcPr>
          <w:p w14:paraId="63B0A639" w14:textId="77777777" w:rsidR="00A11642" w:rsidRPr="00AD60C3" w:rsidRDefault="00A11642" w:rsidP="00A11642">
            <w:pPr>
              <w:rPr>
                <w:b/>
              </w:rPr>
            </w:pPr>
            <w:r w:rsidRPr="00AD60C3">
              <w:rPr>
                <w:b/>
              </w:rPr>
              <w:t>Research Sites</w:t>
            </w:r>
          </w:p>
          <w:p w14:paraId="73E20653" w14:textId="42795FB5" w:rsidR="00A11642" w:rsidRPr="00AD60C3" w:rsidRDefault="00A11642" w:rsidP="00A11642">
            <w:pPr>
              <w:rPr>
                <w:b/>
              </w:rPr>
            </w:pPr>
          </w:p>
        </w:tc>
        <w:tc>
          <w:tcPr>
            <w:tcW w:w="6030" w:type="dxa"/>
            <w:shd w:val="clear" w:color="auto" w:fill="FFF2CC" w:themeFill="accent4" w:themeFillTint="33"/>
          </w:tcPr>
          <w:p w14:paraId="60E3E8CD" w14:textId="0E5B13C7" w:rsidR="00A11642" w:rsidRDefault="00A11642" w:rsidP="00A11642">
            <w:r w:rsidRPr="007E6D66">
              <w:t xml:space="preserve"> - Cover Sheet 7.0 - CTRC Review</w:t>
            </w:r>
            <w:r>
              <w:t xml:space="preserve"> </w:t>
            </w:r>
          </w:p>
          <w:p w14:paraId="2266F118" w14:textId="6BB4AB37" w:rsidR="00A11642" w:rsidRDefault="00E60136" w:rsidP="00A11642">
            <w:r>
              <w:t xml:space="preserve"> </w:t>
            </w:r>
            <w:r w:rsidR="00A11642" w:rsidRPr="007E6D66">
              <w:t>- Cover Sheet 15.0 - Study Site Information</w:t>
            </w:r>
          </w:p>
          <w:p w14:paraId="4119A6E6" w14:textId="623BD96B" w:rsidR="00A11642" w:rsidRDefault="00A11642" w:rsidP="00A11642">
            <w:r w:rsidRPr="007E6D66">
              <w:t xml:space="preserve"> - 2.19 - Foreign Country or Culturally Different Site</w:t>
            </w:r>
          </w:p>
        </w:tc>
      </w:tr>
      <w:tr w:rsidR="00A11642" w14:paraId="41D4D7E3" w14:textId="77777777" w:rsidTr="00AD42AF">
        <w:tc>
          <w:tcPr>
            <w:tcW w:w="5310" w:type="dxa"/>
            <w:shd w:val="clear" w:color="auto" w:fill="D9E2F3" w:themeFill="accent1" w:themeFillTint="33"/>
          </w:tcPr>
          <w:p w14:paraId="4498386B" w14:textId="7B662823" w:rsidR="00A11642" w:rsidRPr="00AD60C3" w:rsidRDefault="00A11642" w:rsidP="00A11642">
            <w:pPr>
              <w:rPr>
                <w:b/>
              </w:rPr>
            </w:pPr>
            <w:r w:rsidRPr="00AD60C3">
              <w:rPr>
                <w:b/>
              </w:rPr>
              <w:t>Study Aims</w:t>
            </w:r>
          </w:p>
        </w:tc>
        <w:tc>
          <w:tcPr>
            <w:tcW w:w="6030" w:type="dxa"/>
            <w:shd w:val="clear" w:color="auto" w:fill="FFF2CC" w:themeFill="accent4" w:themeFillTint="33"/>
          </w:tcPr>
          <w:p w14:paraId="1EB9328C" w14:textId="191EB5E9" w:rsidR="00A11642" w:rsidRDefault="00A11642" w:rsidP="00A11642">
            <w:r w:rsidRPr="00CB3903">
              <w:t xml:space="preserve"> - 1.1 - 1.4 - Objective, Aims, Background and Significance</w:t>
            </w:r>
          </w:p>
        </w:tc>
      </w:tr>
      <w:tr w:rsidR="00A11642" w14:paraId="64FE3CAC" w14:textId="77777777" w:rsidTr="00AD42AF">
        <w:trPr>
          <w:trHeight w:val="547"/>
        </w:trPr>
        <w:tc>
          <w:tcPr>
            <w:tcW w:w="5310" w:type="dxa"/>
            <w:shd w:val="clear" w:color="auto" w:fill="D9E2F3" w:themeFill="accent1" w:themeFillTint="33"/>
          </w:tcPr>
          <w:p w14:paraId="5B0ECC6B" w14:textId="77777777" w:rsidR="00A11642" w:rsidRPr="00AD60C3" w:rsidRDefault="00A11642" w:rsidP="00A11642">
            <w:pPr>
              <w:rPr>
                <w:b/>
              </w:rPr>
            </w:pPr>
            <w:r w:rsidRPr="00AD60C3">
              <w:rPr>
                <w:b/>
              </w:rPr>
              <w:t>Recruitment Methods</w:t>
            </w:r>
          </w:p>
          <w:p w14:paraId="6A349829" w14:textId="3867D2C1" w:rsidR="00A11642" w:rsidRPr="00AD60C3" w:rsidRDefault="00A11642" w:rsidP="00A11642">
            <w:pPr>
              <w:rPr>
                <w:b/>
              </w:rPr>
            </w:pPr>
          </w:p>
        </w:tc>
        <w:tc>
          <w:tcPr>
            <w:tcW w:w="6030" w:type="dxa"/>
            <w:shd w:val="clear" w:color="auto" w:fill="FFF2CC" w:themeFill="accent4" w:themeFillTint="33"/>
          </w:tcPr>
          <w:p w14:paraId="3D3D74C8" w14:textId="77777777" w:rsidR="00A11642" w:rsidRPr="00CB3903" w:rsidRDefault="00A11642" w:rsidP="00A11642">
            <w:r w:rsidRPr="003C26B7">
              <w:t xml:space="preserve"> - 4.1 - 4.2 - Recruitment Methods - Version 2</w:t>
            </w:r>
          </w:p>
          <w:p w14:paraId="7EBE48DD" w14:textId="79B6015B" w:rsidR="00A11642" w:rsidRPr="00CB3903" w:rsidRDefault="00A11642" w:rsidP="00A11642">
            <w:r w:rsidRPr="003C26B7">
              <w:t xml:space="preserve"> - 6.2 - Subject Compensation</w:t>
            </w:r>
          </w:p>
        </w:tc>
      </w:tr>
      <w:tr w:rsidR="00A11642" w14:paraId="46DFEF54" w14:textId="77777777" w:rsidTr="00AD42AF">
        <w:trPr>
          <w:trHeight w:val="1661"/>
        </w:trPr>
        <w:tc>
          <w:tcPr>
            <w:tcW w:w="5310" w:type="dxa"/>
            <w:shd w:val="clear" w:color="auto" w:fill="D9E2F3" w:themeFill="accent1" w:themeFillTint="33"/>
          </w:tcPr>
          <w:p w14:paraId="5CB58DCC" w14:textId="77777777" w:rsidR="00A11642" w:rsidRPr="00AD60C3" w:rsidRDefault="00A11642" w:rsidP="00A11642">
            <w:pPr>
              <w:rPr>
                <w:b/>
              </w:rPr>
            </w:pPr>
            <w:r w:rsidRPr="00AD60C3">
              <w:rPr>
                <w:b/>
              </w:rPr>
              <w:t>Study Design</w:t>
            </w:r>
          </w:p>
          <w:p w14:paraId="30FAD0E4" w14:textId="34126E60" w:rsidR="00A11642" w:rsidRPr="00AD60C3" w:rsidRDefault="00A11642" w:rsidP="00A11642">
            <w:pPr>
              <w:rPr>
                <w:b/>
              </w:rPr>
            </w:pPr>
          </w:p>
        </w:tc>
        <w:tc>
          <w:tcPr>
            <w:tcW w:w="6030" w:type="dxa"/>
            <w:shd w:val="clear" w:color="auto" w:fill="FFF2CC" w:themeFill="accent4" w:themeFillTint="33"/>
          </w:tcPr>
          <w:p w14:paraId="73642315" w14:textId="77777777" w:rsidR="00A11642" w:rsidRPr="00CB3903" w:rsidRDefault="00A11642" w:rsidP="00A11642">
            <w:r w:rsidRPr="001F51E3">
              <w:t xml:space="preserve"> - 2.3 - Summarize Classification and Methodological Design</w:t>
            </w:r>
          </w:p>
          <w:p w14:paraId="63A2D0D7" w14:textId="77777777" w:rsidR="00A11642" w:rsidRPr="00CB3903" w:rsidRDefault="00A11642" w:rsidP="00A11642">
            <w:r w:rsidRPr="001F51E3">
              <w:t xml:space="preserve"> - 2.11 - Total Duration of Subject's Participation</w:t>
            </w:r>
          </w:p>
          <w:p w14:paraId="7832BDD1" w14:textId="6258A633" w:rsidR="00A11642" w:rsidRDefault="00A11642" w:rsidP="00A11642">
            <w:r w:rsidRPr="001F51E3">
              <w:t xml:space="preserve"> - 2.17 - 2.18 - Outcome Variables and Statistical Analysis</w:t>
            </w:r>
          </w:p>
          <w:p w14:paraId="7DECEA42" w14:textId="4D10DF47" w:rsidR="00A11642" w:rsidRPr="00CB3903" w:rsidRDefault="00A11642" w:rsidP="00A11642">
            <w:r w:rsidRPr="003D1222">
              <w:t xml:space="preserve">  - 3.1 – 3.3 – Age, Gender, Subgroups</w:t>
            </w:r>
          </w:p>
          <w:p w14:paraId="4DA8E27A" w14:textId="77777777" w:rsidR="00A11642" w:rsidRPr="00CB3903" w:rsidRDefault="00A11642" w:rsidP="00A11642">
            <w:r w:rsidRPr="001F51E3">
              <w:t xml:space="preserve"> - 3.10 - 3.12 - Total Subjects, Study Subgroups, Statistical Justification</w:t>
            </w:r>
          </w:p>
          <w:p w14:paraId="63053D5B" w14:textId="77777777" w:rsidR="00A11642" w:rsidRPr="00CB3903" w:rsidRDefault="00A11642" w:rsidP="00A11642">
            <w:r w:rsidRPr="001F51E3">
              <w:t xml:space="preserve"> - 3.13 - 3.15 - Inclusion/Exclusion Criteria, HIV Serostatus</w:t>
            </w:r>
          </w:p>
          <w:p w14:paraId="212C986A" w14:textId="5B0FC07F" w:rsidR="00A11642" w:rsidRPr="00CB3903" w:rsidRDefault="00A11642" w:rsidP="00A11642">
            <w:r w:rsidRPr="001F51E3">
              <w:t xml:space="preserve"> - 5.7 - Endpoints Discontinuing Participation</w:t>
            </w:r>
          </w:p>
        </w:tc>
      </w:tr>
      <w:tr w:rsidR="00A11642" w14:paraId="4BFFE457" w14:textId="77777777" w:rsidTr="00AD42AF">
        <w:trPr>
          <w:trHeight w:val="1104"/>
        </w:trPr>
        <w:tc>
          <w:tcPr>
            <w:tcW w:w="5310" w:type="dxa"/>
            <w:shd w:val="clear" w:color="auto" w:fill="D9E2F3" w:themeFill="accent1" w:themeFillTint="33"/>
          </w:tcPr>
          <w:p w14:paraId="1BBCE33E" w14:textId="77777777" w:rsidR="00A11642" w:rsidRPr="00AD60C3" w:rsidRDefault="00A11642" w:rsidP="00A11642">
            <w:pPr>
              <w:rPr>
                <w:b/>
              </w:rPr>
            </w:pPr>
            <w:r w:rsidRPr="00AD60C3">
              <w:rPr>
                <w:b/>
              </w:rPr>
              <w:t>Research Activities</w:t>
            </w:r>
          </w:p>
          <w:p w14:paraId="08FA9D4F" w14:textId="187E8E68" w:rsidR="00A11642" w:rsidRPr="00AD60C3" w:rsidRDefault="00A11642" w:rsidP="00A11642">
            <w:pPr>
              <w:rPr>
                <w:b/>
              </w:rPr>
            </w:pPr>
          </w:p>
        </w:tc>
        <w:tc>
          <w:tcPr>
            <w:tcW w:w="6030" w:type="dxa"/>
            <w:shd w:val="clear" w:color="auto" w:fill="FFF2CC" w:themeFill="accent4" w:themeFillTint="33"/>
          </w:tcPr>
          <w:p w14:paraId="768F93E9" w14:textId="77777777" w:rsidR="00A11642" w:rsidRPr="00815B1C" w:rsidRDefault="00A11642" w:rsidP="00A11642">
            <w:r w:rsidRPr="00561D26">
              <w:t xml:space="preserve"> - 2.5 - Screening Procedures</w:t>
            </w:r>
          </w:p>
          <w:p w14:paraId="7D2A463B" w14:textId="77777777" w:rsidR="00A11642" w:rsidRPr="00815B1C" w:rsidRDefault="00A11642" w:rsidP="00A11642">
            <w:r w:rsidRPr="00561D26">
              <w:t xml:space="preserve"> - 2.6 - Research Interventions/Interactions</w:t>
            </w:r>
          </w:p>
          <w:p w14:paraId="59D5378C" w14:textId="77777777" w:rsidR="00A11642" w:rsidRPr="00815B1C" w:rsidRDefault="00A11642" w:rsidP="00A11642">
            <w:r w:rsidRPr="00561D26">
              <w:t xml:space="preserve"> - 2.7 - Follow Up Procedures</w:t>
            </w:r>
          </w:p>
          <w:p w14:paraId="11718B76" w14:textId="63C0E846" w:rsidR="00A11642" w:rsidRPr="00815B1C" w:rsidRDefault="00A11642" w:rsidP="00A11642">
            <w:r w:rsidRPr="00561D26">
              <w:t xml:space="preserve"> - 2.8 - Questionnaires or Survey Instruments</w:t>
            </w:r>
          </w:p>
        </w:tc>
      </w:tr>
      <w:tr w:rsidR="00A11642" w14:paraId="3292D8FA" w14:textId="77777777" w:rsidTr="00AD42AF">
        <w:trPr>
          <w:trHeight w:val="1160"/>
        </w:trPr>
        <w:tc>
          <w:tcPr>
            <w:tcW w:w="5310" w:type="dxa"/>
            <w:shd w:val="clear" w:color="auto" w:fill="D9E2F3" w:themeFill="accent1" w:themeFillTint="33"/>
          </w:tcPr>
          <w:p w14:paraId="765A0D19" w14:textId="77777777" w:rsidR="00A11642" w:rsidRPr="00AD60C3" w:rsidRDefault="00A11642" w:rsidP="00A11642">
            <w:pPr>
              <w:rPr>
                <w:b/>
              </w:rPr>
            </w:pPr>
            <w:r w:rsidRPr="00AD60C3">
              <w:rPr>
                <w:b/>
              </w:rPr>
              <w:t>Consent Process</w:t>
            </w:r>
          </w:p>
          <w:p w14:paraId="7B051794" w14:textId="5FE504E7" w:rsidR="00A11642" w:rsidRPr="00AD60C3" w:rsidRDefault="00A11642" w:rsidP="00A11642">
            <w:pPr>
              <w:rPr>
                <w:b/>
              </w:rPr>
            </w:pPr>
          </w:p>
        </w:tc>
        <w:tc>
          <w:tcPr>
            <w:tcW w:w="6030" w:type="dxa"/>
            <w:shd w:val="clear" w:color="auto" w:fill="FFF2CC" w:themeFill="accent4" w:themeFillTint="33"/>
          </w:tcPr>
          <w:p w14:paraId="4A1C18BF" w14:textId="285D4D97" w:rsidR="00A11642" w:rsidRPr="00561D26" w:rsidRDefault="00A11642" w:rsidP="00A11642">
            <w:r w:rsidRPr="003726D4">
              <w:t xml:space="preserve">  - 4.11 - Point When Informed Consent will be Obtained</w:t>
            </w:r>
          </w:p>
          <w:p w14:paraId="32EE3580" w14:textId="77777777" w:rsidR="00A11642" w:rsidRPr="00561D26" w:rsidRDefault="00A11642" w:rsidP="00A11642">
            <w:r w:rsidRPr="003726D4">
              <w:t xml:space="preserve"> - 4.12 - 4.14 - Informing Subjects, Exception to Policies for Informed Consent</w:t>
            </w:r>
          </w:p>
          <w:p w14:paraId="0D668F44" w14:textId="77873F5F" w:rsidR="00A11642" w:rsidRPr="00561D26" w:rsidRDefault="00A11642" w:rsidP="00A11642">
            <w:r w:rsidRPr="003726D4">
              <w:t xml:space="preserve"> - 4.10 - Adult Subjects Capable of Providing Consent</w:t>
            </w:r>
          </w:p>
        </w:tc>
      </w:tr>
      <w:tr w:rsidR="00A11642" w14:paraId="62263084" w14:textId="77777777" w:rsidTr="00AD42AF">
        <w:trPr>
          <w:trHeight w:val="547"/>
        </w:trPr>
        <w:tc>
          <w:tcPr>
            <w:tcW w:w="5310" w:type="dxa"/>
            <w:shd w:val="clear" w:color="auto" w:fill="D9E2F3" w:themeFill="accent1" w:themeFillTint="33"/>
          </w:tcPr>
          <w:p w14:paraId="72A77057" w14:textId="1C31CA43" w:rsidR="00A11642" w:rsidRPr="00AD60C3" w:rsidRDefault="00A11642" w:rsidP="00A11642">
            <w:pPr>
              <w:rPr>
                <w:b/>
              </w:rPr>
            </w:pPr>
            <w:r w:rsidRPr="00AD60C3">
              <w:rPr>
                <w:b/>
              </w:rPr>
              <w:t xml:space="preserve">Consent </w:t>
            </w:r>
            <w:r w:rsidR="00AB07C7">
              <w:rPr>
                <w:b/>
              </w:rPr>
              <w:t>F</w:t>
            </w:r>
            <w:r w:rsidRPr="00AD60C3">
              <w:rPr>
                <w:b/>
              </w:rPr>
              <w:t>orms</w:t>
            </w:r>
          </w:p>
          <w:p w14:paraId="50DFC874" w14:textId="7BE14EC1" w:rsidR="00A11642" w:rsidRPr="00AD60C3" w:rsidRDefault="00A11642" w:rsidP="00A11642">
            <w:pPr>
              <w:rPr>
                <w:b/>
              </w:rPr>
            </w:pPr>
          </w:p>
        </w:tc>
        <w:tc>
          <w:tcPr>
            <w:tcW w:w="6030" w:type="dxa"/>
            <w:shd w:val="clear" w:color="auto" w:fill="FFF2CC" w:themeFill="accent4" w:themeFillTint="33"/>
          </w:tcPr>
          <w:p w14:paraId="1B11A92F" w14:textId="77777777" w:rsidR="00A11642" w:rsidRPr="003726D4" w:rsidRDefault="00A11642" w:rsidP="00A11642">
            <w:r w:rsidRPr="00D81F91">
              <w:t xml:space="preserve"> - 4.9 - Informed Consent Forms</w:t>
            </w:r>
          </w:p>
          <w:p w14:paraId="3419F058" w14:textId="0F943DDA" w:rsidR="00A11642" w:rsidRPr="003726D4" w:rsidRDefault="00A11642" w:rsidP="00A11642">
            <w:r w:rsidRPr="00D81F91">
              <w:t xml:space="preserve"> - 5.6 - Alternate Diagnostic/Treatment Approaches</w:t>
            </w:r>
          </w:p>
        </w:tc>
      </w:tr>
      <w:tr w:rsidR="00A11642" w14:paraId="07ECC538" w14:textId="77777777" w:rsidTr="00AD42AF">
        <w:tc>
          <w:tcPr>
            <w:tcW w:w="5310" w:type="dxa"/>
            <w:shd w:val="clear" w:color="auto" w:fill="D9E2F3" w:themeFill="accent1" w:themeFillTint="33"/>
          </w:tcPr>
          <w:p w14:paraId="7C802579" w14:textId="6B7EB409" w:rsidR="00A11642" w:rsidRPr="00AD60C3" w:rsidRDefault="00A11642" w:rsidP="00A11642">
            <w:pPr>
              <w:rPr>
                <w:b/>
              </w:rPr>
            </w:pPr>
            <w:r w:rsidRPr="00AD60C3">
              <w:rPr>
                <w:b/>
              </w:rPr>
              <w:t>Electronic Data Management</w:t>
            </w:r>
          </w:p>
        </w:tc>
        <w:tc>
          <w:tcPr>
            <w:tcW w:w="6030" w:type="dxa"/>
            <w:shd w:val="clear" w:color="auto" w:fill="FFF2CC" w:themeFill="accent4" w:themeFillTint="33"/>
          </w:tcPr>
          <w:p w14:paraId="5B2A7C3B" w14:textId="56AA2369" w:rsidR="00A11642" w:rsidRPr="003726D4" w:rsidRDefault="00A11642" w:rsidP="00A11642">
            <w:r w:rsidRPr="00DC4C96">
              <w:t xml:space="preserve"> - 5.1</w:t>
            </w:r>
            <w:r>
              <w:t>5</w:t>
            </w:r>
            <w:r w:rsidRPr="00DC4C96">
              <w:t xml:space="preserve"> -Data Security</w:t>
            </w:r>
          </w:p>
        </w:tc>
      </w:tr>
      <w:tr w:rsidR="00A11642" w14:paraId="369032BA" w14:textId="77777777" w:rsidTr="00AD42AF">
        <w:tc>
          <w:tcPr>
            <w:tcW w:w="5310" w:type="dxa"/>
            <w:shd w:val="clear" w:color="auto" w:fill="D9E2F3" w:themeFill="accent1" w:themeFillTint="33"/>
          </w:tcPr>
          <w:p w14:paraId="42729609" w14:textId="2A1C4FB4" w:rsidR="00A11642" w:rsidRPr="00AD60C3" w:rsidRDefault="00A11642" w:rsidP="00A11642">
            <w:pPr>
              <w:rPr>
                <w:b/>
              </w:rPr>
            </w:pPr>
            <w:r w:rsidRPr="00AD60C3">
              <w:rPr>
                <w:b/>
              </w:rPr>
              <w:t>Data Safety and Monitoring</w:t>
            </w:r>
          </w:p>
        </w:tc>
        <w:tc>
          <w:tcPr>
            <w:tcW w:w="6030" w:type="dxa"/>
            <w:shd w:val="clear" w:color="auto" w:fill="FFF2CC" w:themeFill="accent4" w:themeFillTint="33"/>
          </w:tcPr>
          <w:p w14:paraId="40F29D7A" w14:textId="5AF1B586" w:rsidR="00A11642" w:rsidRPr="003726D4" w:rsidRDefault="00A11642" w:rsidP="00A11642">
            <w:r w:rsidRPr="00FC167C">
              <w:t xml:space="preserve"> - 5.13 -</w:t>
            </w:r>
            <w:r>
              <w:t xml:space="preserve"> </w:t>
            </w:r>
            <w:r w:rsidRPr="00FC167C">
              <w:t>Monitoring Plan</w:t>
            </w:r>
          </w:p>
        </w:tc>
      </w:tr>
      <w:tr w:rsidR="00A11642" w14:paraId="476338B8" w14:textId="77777777" w:rsidTr="00AD42AF">
        <w:trPr>
          <w:trHeight w:val="1088"/>
        </w:trPr>
        <w:tc>
          <w:tcPr>
            <w:tcW w:w="5310" w:type="dxa"/>
            <w:shd w:val="clear" w:color="auto" w:fill="D9E2F3" w:themeFill="accent1" w:themeFillTint="33"/>
          </w:tcPr>
          <w:p w14:paraId="43584990" w14:textId="77777777" w:rsidR="00A11642" w:rsidRPr="00AD60C3" w:rsidRDefault="00A11642" w:rsidP="00A11642">
            <w:pPr>
              <w:rPr>
                <w:b/>
              </w:rPr>
            </w:pPr>
            <w:bookmarkStart w:id="1" w:name="_Hlk5104604"/>
            <w:r w:rsidRPr="00AD60C3">
              <w:rPr>
                <w:b/>
              </w:rPr>
              <w:t>Risks and Benefits</w:t>
            </w:r>
          </w:p>
          <w:p w14:paraId="793D9225" w14:textId="37DD71AC" w:rsidR="00A11642" w:rsidRPr="00AD60C3" w:rsidRDefault="00A11642" w:rsidP="00A11642">
            <w:pPr>
              <w:rPr>
                <w:b/>
              </w:rPr>
            </w:pPr>
          </w:p>
        </w:tc>
        <w:tc>
          <w:tcPr>
            <w:tcW w:w="6030" w:type="dxa"/>
            <w:shd w:val="clear" w:color="auto" w:fill="FFF2CC" w:themeFill="accent4" w:themeFillTint="33"/>
          </w:tcPr>
          <w:p w14:paraId="3F8AEEA2" w14:textId="6E506D2C" w:rsidR="00A11642" w:rsidRDefault="00A11642" w:rsidP="00A11642">
            <w:r w:rsidRPr="00D81EEF">
              <w:t xml:space="preserve"> - 5.1 - Risks - Version 2</w:t>
            </w:r>
          </w:p>
          <w:p w14:paraId="1E7921D4" w14:textId="7F9EE24D" w:rsidR="00A11642" w:rsidRDefault="00A11642" w:rsidP="00A11642">
            <w:r>
              <w:t xml:space="preserve"> </w:t>
            </w:r>
            <w:r w:rsidRPr="00D81EEF">
              <w:t>- 5.</w:t>
            </w:r>
            <w:r>
              <w:t>2 – Unexpected Disease or Condition</w:t>
            </w:r>
          </w:p>
          <w:p w14:paraId="4FF18A2D" w14:textId="2279FEF4" w:rsidR="00A11642" w:rsidRPr="00FC167C" w:rsidRDefault="00A11642" w:rsidP="00A11642">
            <w:r w:rsidRPr="00D81EEF">
              <w:t>- 5.4 - Physical/Psychological Risk to Pregnant Women/Fetus</w:t>
            </w:r>
          </w:p>
          <w:p w14:paraId="004ECB93" w14:textId="3D368D57" w:rsidR="00A11642" w:rsidRDefault="00A11642" w:rsidP="00A11642">
            <w:r w:rsidRPr="00D81EEF">
              <w:t xml:space="preserve"> - 5.5 - Risk of Genetic Mutation Leading to Birth Defects</w:t>
            </w:r>
          </w:p>
          <w:p w14:paraId="70D90D02" w14:textId="604DC44E" w:rsidR="00A11642" w:rsidRDefault="00A11642" w:rsidP="00A11642">
            <w:r w:rsidRPr="00D81EEF">
              <w:t>- 5.1</w:t>
            </w:r>
            <w:r>
              <w:t xml:space="preserve">2 - </w:t>
            </w:r>
            <w:r w:rsidRPr="00FC167C">
              <w:t>Participation Offers Direct Benefit</w:t>
            </w:r>
          </w:p>
          <w:p w14:paraId="61E464A8" w14:textId="490A29B4" w:rsidR="00422F7B" w:rsidRDefault="00A11642" w:rsidP="00A11642">
            <w:r w:rsidRPr="003D1222">
              <w:t>- 5.14</w:t>
            </w:r>
            <w:r w:rsidR="00422F7B">
              <w:t xml:space="preserve"> - Precautions Concerning Privacy</w:t>
            </w:r>
          </w:p>
          <w:p w14:paraId="3DD917E8" w14:textId="1BC765CC" w:rsidR="00A11642" w:rsidRPr="003D1222" w:rsidRDefault="00422F7B" w:rsidP="00A11642">
            <w:r>
              <w:t>-</w:t>
            </w:r>
            <w:r w:rsidR="00A11642" w:rsidRPr="003D1222">
              <w:t xml:space="preserve"> 5.16, 5.17 - Precautions Concerning Confidentiality, </w:t>
            </w:r>
          </w:p>
          <w:p w14:paraId="36C31B15" w14:textId="266C5101" w:rsidR="00A11642" w:rsidRPr="003D1222" w:rsidRDefault="00A11642" w:rsidP="00A11642">
            <w:r w:rsidRPr="003D1222">
              <w:t xml:space="preserve">- 5.16 - 5.17 – Withdraws and </w:t>
            </w:r>
            <w:r>
              <w:t>D</w:t>
            </w:r>
            <w:r w:rsidRPr="003D1222">
              <w:t xml:space="preserve">ata </w:t>
            </w:r>
            <w:r>
              <w:t>R</w:t>
            </w:r>
            <w:r w:rsidRPr="003D1222">
              <w:t>etention</w:t>
            </w:r>
          </w:p>
          <w:p w14:paraId="4A1CA142" w14:textId="6289BE22" w:rsidR="00A11642" w:rsidRPr="00FC167C" w:rsidRDefault="00A11642" w:rsidP="00A11642">
            <w:r w:rsidRPr="00D81EEF">
              <w:t>- 6.1 - Subjects or Insurance Providers Charged for Procedures</w:t>
            </w:r>
          </w:p>
        </w:tc>
      </w:tr>
      <w:bookmarkEnd w:id="1"/>
      <w:tr w:rsidR="00A11642" w14:paraId="1EEA5BEF" w14:textId="77777777" w:rsidTr="00AD42AF">
        <w:tc>
          <w:tcPr>
            <w:tcW w:w="5310" w:type="dxa"/>
            <w:shd w:val="clear" w:color="auto" w:fill="D9E2F3" w:themeFill="accent1" w:themeFillTint="33"/>
          </w:tcPr>
          <w:p w14:paraId="05D3C207" w14:textId="67ED0696" w:rsidR="00A11642" w:rsidRPr="00AD60C3" w:rsidRDefault="00A11642" w:rsidP="00A11642">
            <w:pPr>
              <w:rPr>
                <w:b/>
              </w:rPr>
            </w:pPr>
            <w:r w:rsidRPr="00AD60C3">
              <w:rPr>
                <w:b/>
              </w:rPr>
              <w:t>Conflict of Interest</w:t>
            </w:r>
          </w:p>
        </w:tc>
        <w:tc>
          <w:tcPr>
            <w:tcW w:w="6030" w:type="dxa"/>
            <w:shd w:val="clear" w:color="auto" w:fill="FFF2CC" w:themeFill="accent4" w:themeFillTint="33"/>
          </w:tcPr>
          <w:p w14:paraId="27C72BDC" w14:textId="0B229152" w:rsidR="00A11642" w:rsidRPr="00FC167C" w:rsidRDefault="00A11642" w:rsidP="00A11642">
            <w:r w:rsidRPr="00535C1F">
              <w:t xml:space="preserve"> - 7.3 - Financial or Equity Interests of PI and Study Team</w:t>
            </w:r>
          </w:p>
        </w:tc>
      </w:tr>
      <w:tr w:rsidR="00A11642" w14:paraId="6E093D87" w14:textId="77777777" w:rsidTr="00AD42AF">
        <w:trPr>
          <w:trHeight w:val="547"/>
        </w:trPr>
        <w:tc>
          <w:tcPr>
            <w:tcW w:w="5310" w:type="dxa"/>
            <w:shd w:val="clear" w:color="auto" w:fill="D9E2F3" w:themeFill="accent1" w:themeFillTint="33"/>
          </w:tcPr>
          <w:p w14:paraId="68A07251" w14:textId="3D292955" w:rsidR="00A11642" w:rsidRPr="00AD60C3" w:rsidRDefault="00A11642" w:rsidP="00A11642">
            <w:pPr>
              <w:rPr>
                <w:b/>
              </w:rPr>
            </w:pPr>
            <w:r w:rsidRPr="00AD60C3">
              <w:rPr>
                <w:b/>
              </w:rPr>
              <w:t>Ancillary Review</w:t>
            </w:r>
            <w:r w:rsidR="00AB07C7">
              <w:rPr>
                <w:b/>
              </w:rPr>
              <w:t>s</w:t>
            </w:r>
          </w:p>
          <w:p w14:paraId="65FDE2C6" w14:textId="2E770740" w:rsidR="00A11642" w:rsidRPr="00AD60C3" w:rsidRDefault="00A11642" w:rsidP="00A11642">
            <w:pPr>
              <w:rPr>
                <w:b/>
              </w:rPr>
            </w:pPr>
          </w:p>
        </w:tc>
        <w:tc>
          <w:tcPr>
            <w:tcW w:w="6030" w:type="dxa"/>
            <w:shd w:val="clear" w:color="auto" w:fill="FFF2CC" w:themeFill="accent4" w:themeFillTint="33"/>
          </w:tcPr>
          <w:p w14:paraId="365F8BD2" w14:textId="0D1945A9" w:rsidR="00A11642" w:rsidRPr="008D04D0" w:rsidRDefault="00A11642" w:rsidP="00A11642">
            <w:r w:rsidRPr="008D04D0">
              <w:t xml:space="preserve">- Cover Sheet 12.0 - 13.0 - Radiation Safety or Biosafety </w:t>
            </w:r>
          </w:p>
          <w:p w14:paraId="57F1B067" w14:textId="4CE1CFBD" w:rsidR="00A11642" w:rsidRPr="008D04D0" w:rsidRDefault="00A11642" w:rsidP="00A11642">
            <w:r w:rsidRPr="009E036F">
              <w:t>- Cover Sheet 17.0 - Human Stem Cell Research (</w:t>
            </w:r>
            <w:proofErr w:type="spellStart"/>
            <w:r w:rsidRPr="009E036F">
              <w:t>hSCRO</w:t>
            </w:r>
            <w:proofErr w:type="spellEnd"/>
            <w:r w:rsidRPr="009E036F">
              <w:t>)</w:t>
            </w:r>
          </w:p>
        </w:tc>
      </w:tr>
      <w:tr w:rsidR="00A11642" w14:paraId="2638869F" w14:textId="77777777" w:rsidTr="00AD42AF">
        <w:trPr>
          <w:trHeight w:val="547"/>
        </w:trPr>
        <w:tc>
          <w:tcPr>
            <w:tcW w:w="5310" w:type="dxa"/>
            <w:shd w:val="clear" w:color="auto" w:fill="D9E2F3" w:themeFill="accent1" w:themeFillTint="33"/>
          </w:tcPr>
          <w:p w14:paraId="12F8010F" w14:textId="77777777" w:rsidR="00A11642" w:rsidRPr="00AD60C3" w:rsidRDefault="00A11642" w:rsidP="00A11642">
            <w:pPr>
              <w:rPr>
                <w:b/>
              </w:rPr>
            </w:pPr>
            <w:r w:rsidRPr="00AD60C3">
              <w:rPr>
                <w:b/>
              </w:rPr>
              <w:t>Clinical Trial Information</w:t>
            </w:r>
          </w:p>
          <w:p w14:paraId="0D546E41" w14:textId="454E8A7B" w:rsidR="00A11642" w:rsidRPr="00AD60C3" w:rsidRDefault="00A11642" w:rsidP="00A11642">
            <w:pPr>
              <w:rPr>
                <w:b/>
              </w:rPr>
            </w:pPr>
          </w:p>
        </w:tc>
        <w:tc>
          <w:tcPr>
            <w:tcW w:w="6030" w:type="dxa"/>
            <w:shd w:val="clear" w:color="auto" w:fill="FFF2CC" w:themeFill="accent4" w:themeFillTint="33"/>
          </w:tcPr>
          <w:p w14:paraId="303F3BCB" w14:textId="77777777" w:rsidR="00A11642" w:rsidRPr="00FC167C" w:rsidRDefault="00A11642" w:rsidP="00A11642">
            <w:r w:rsidRPr="00590E3F">
              <w:t xml:space="preserve"> - Cover Sheet 18.0 - Clinical Trial</w:t>
            </w:r>
          </w:p>
          <w:p w14:paraId="7B166BF5" w14:textId="04E5A1EF" w:rsidR="00A11642" w:rsidRPr="00FC167C" w:rsidRDefault="00A11642" w:rsidP="00A11642">
            <w:r w:rsidRPr="00590E3F">
              <w:t xml:space="preserve"> - Clinical Trials Registration</w:t>
            </w:r>
          </w:p>
        </w:tc>
      </w:tr>
      <w:tr w:rsidR="00A11642" w14:paraId="507500E3" w14:textId="77777777" w:rsidTr="00AD42AF">
        <w:tc>
          <w:tcPr>
            <w:tcW w:w="5310" w:type="dxa"/>
            <w:shd w:val="clear" w:color="auto" w:fill="D9E2F3" w:themeFill="accent1" w:themeFillTint="33"/>
          </w:tcPr>
          <w:p w14:paraId="62F7E2B8" w14:textId="31914746" w:rsidR="00A11642" w:rsidRPr="00AD60C3" w:rsidRDefault="00AB07C7" w:rsidP="00A11642">
            <w:pPr>
              <w:rPr>
                <w:b/>
              </w:rPr>
            </w:pPr>
            <w:r>
              <w:rPr>
                <w:b/>
              </w:rPr>
              <w:t xml:space="preserve">Local </w:t>
            </w:r>
            <w:r w:rsidR="00A11642" w:rsidRPr="00AD60C3">
              <w:rPr>
                <w:b/>
              </w:rPr>
              <w:t>Supporting Documents</w:t>
            </w:r>
          </w:p>
        </w:tc>
        <w:tc>
          <w:tcPr>
            <w:tcW w:w="6030" w:type="dxa"/>
            <w:shd w:val="clear" w:color="auto" w:fill="FFF2CC" w:themeFill="accent4" w:themeFillTint="33"/>
          </w:tcPr>
          <w:p w14:paraId="5AC19B70" w14:textId="2FDB785B" w:rsidR="00A11642" w:rsidRPr="00FC167C" w:rsidRDefault="00A11642" w:rsidP="00A11642">
            <w:r w:rsidRPr="00561570">
              <w:t xml:space="preserve"> - References and other Attachments</w:t>
            </w:r>
          </w:p>
        </w:tc>
      </w:tr>
    </w:tbl>
    <w:p w14:paraId="3C809546" w14:textId="5A10B28A" w:rsidR="00AD7B16" w:rsidRDefault="00AD7B16" w:rsidP="00C45BE9"/>
    <w:p w14:paraId="5E33B7AB" w14:textId="77777777" w:rsidR="00700BC8" w:rsidRDefault="00700BC8" w:rsidP="00700BC8">
      <w:pPr>
        <w:jc w:val="center"/>
        <w:rPr>
          <w:b/>
        </w:rPr>
      </w:pPr>
    </w:p>
    <w:p w14:paraId="5CF9A5FA" w14:textId="77777777" w:rsidR="00700BC8" w:rsidRDefault="00700BC8" w:rsidP="00700BC8">
      <w:pPr>
        <w:jc w:val="center"/>
        <w:rPr>
          <w:b/>
        </w:rPr>
      </w:pPr>
    </w:p>
    <w:p w14:paraId="4D9E4142" w14:textId="6899B823" w:rsidR="00700BC8" w:rsidRDefault="00700BC8" w:rsidP="00700BC8">
      <w:pPr>
        <w:jc w:val="center"/>
        <w:rPr>
          <w:b/>
          <w:sz w:val="36"/>
          <w:szCs w:val="36"/>
        </w:rPr>
      </w:pPr>
      <w:r w:rsidRPr="00700BC8">
        <w:rPr>
          <w:b/>
          <w:sz w:val="36"/>
          <w:szCs w:val="36"/>
        </w:rPr>
        <w:t>Common Errors During Transition</w:t>
      </w:r>
    </w:p>
    <w:p w14:paraId="6C3A0A54" w14:textId="0EC99E7E" w:rsidR="00700BC8" w:rsidRDefault="00700BC8" w:rsidP="00700BC8">
      <w:pPr>
        <w:rPr>
          <w:b/>
        </w:rPr>
      </w:pPr>
    </w:p>
    <w:p w14:paraId="5E1B93A9" w14:textId="3E7CA108" w:rsidR="00700BC8" w:rsidRDefault="00700BC8" w:rsidP="00700BC8">
      <w:pPr>
        <w:rPr>
          <w:b/>
        </w:rPr>
      </w:pPr>
      <w:r>
        <w:rPr>
          <w:b/>
        </w:rPr>
        <w:t>General Issues:</w:t>
      </w:r>
    </w:p>
    <w:p w14:paraId="4E3A8480" w14:textId="35F9FF1D" w:rsidR="00700BC8" w:rsidRDefault="00700BC8" w:rsidP="00700BC8">
      <w:pPr>
        <w:rPr>
          <w:b/>
        </w:rPr>
      </w:pPr>
    </w:p>
    <w:p w14:paraId="3CCB6B41" w14:textId="2BDD0FB4" w:rsidR="00700BC8" w:rsidRDefault="00CF70C7" w:rsidP="00700BC8">
      <w:pPr>
        <w:pStyle w:val="ListParagraph"/>
        <w:numPr>
          <w:ilvl w:val="0"/>
          <w:numId w:val="6"/>
        </w:numPr>
      </w:pPr>
      <w:r>
        <w:t xml:space="preserve">All studies that are open to enrollment or closed to </w:t>
      </w:r>
      <w:proofErr w:type="gramStart"/>
      <w:r>
        <w:t>enrollment</w:t>
      </w:r>
      <w:proofErr w:type="gramEnd"/>
      <w:r>
        <w:t xml:space="preserve"> but research procedures continue must be transitioned into PittPRO at the time of continuing review with the exception of the following:</w:t>
      </w:r>
    </w:p>
    <w:p w14:paraId="5AB0318C" w14:textId="49FC4D01" w:rsidR="00CF70C7" w:rsidRDefault="00CF70C7" w:rsidP="00CF70C7">
      <w:pPr>
        <w:pStyle w:val="ListParagraph"/>
        <w:numPr>
          <w:ilvl w:val="1"/>
          <w:numId w:val="6"/>
        </w:numPr>
      </w:pPr>
      <w:r>
        <w:t>Studies where Pitt is serving as the IRB of Record</w:t>
      </w:r>
    </w:p>
    <w:p w14:paraId="6F22FD3F" w14:textId="1D7FAFDD" w:rsidR="00CF70C7" w:rsidRDefault="00CF70C7" w:rsidP="00CF70C7">
      <w:pPr>
        <w:pStyle w:val="ListParagraph"/>
        <w:numPr>
          <w:ilvl w:val="1"/>
          <w:numId w:val="6"/>
        </w:numPr>
      </w:pPr>
      <w:r>
        <w:t>Studies where Pitt has ceded review to another IRB to serve as IRB of Record</w:t>
      </w:r>
    </w:p>
    <w:p w14:paraId="468A6848" w14:textId="487110EC" w:rsidR="00CF70C7" w:rsidRDefault="00CF70C7" w:rsidP="00CF70C7">
      <w:pPr>
        <w:pStyle w:val="ListParagraph"/>
        <w:numPr>
          <w:ilvl w:val="1"/>
          <w:numId w:val="6"/>
        </w:numPr>
      </w:pPr>
      <w:r>
        <w:t xml:space="preserve">Studies that have been released from continuing review (these will transition </w:t>
      </w:r>
      <w:proofErr w:type="gramStart"/>
      <w:r>
        <w:t>at a later date</w:t>
      </w:r>
      <w:proofErr w:type="gramEnd"/>
      <w:r>
        <w:t>)</w:t>
      </w:r>
    </w:p>
    <w:p w14:paraId="2C76FCB2" w14:textId="77777777" w:rsidR="00CF70C7" w:rsidRDefault="00CF70C7" w:rsidP="00CF70C7">
      <w:pPr>
        <w:pStyle w:val="ListParagraph"/>
      </w:pPr>
    </w:p>
    <w:p w14:paraId="34A3070D" w14:textId="52004FCD" w:rsidR="00CF70C7" w:rsidRDefault="00CF70C7" w:rsidP="00CF70C7">
      <w:pPr>
        <w:pStyle w:val="ListParagraph"/>
      </w:pPr>
      <w:r>
        <w:t>It is important that transitions be submitted at least 5 weeks in advance of the expiration date to ensure that the study doesn’t expire. This is especially important for studies that require full board review.</w:t>
      </w:r>
    </w:p>
    <w:p w14:paraId="4C41605E" w14:textId="77777777" w:rsidR="00700BC8" w:rsidRDefault="00700BC8" w:rsidP="00700BC8">
      <w:pPr>
        <w:pStyle w:val="ListParagraph"/>
      </w:pPr>
    </w:p>
    <w:p w14:paraId="52BCC27E" w14:textId="5919C257" w:rsidR="00700BC8" w:rsidRDefault="00700BC8" w:rsidP="00700BC8">
      <w:pPr>
        <w:pStyle w:val="ListParagraph"/>
        <w:numPr>
          <w:ilvl w:val="0"/>
          <w:numId w:val="6"/>
        </w:numPr>
      </w:pPr>
      <w:r>
        <w:t>Utilize the Tip Sheet above when submitting a transition into PittPRO. It provides a mapping of questions in OSIRIS to questions in PittPRO.</w:t>
      </w:r>
    </w:p>
    <w:p w14:paraId="2D87CD76" w14:textId="77777777" w:rsidR="00700BC8" w:rsidRDefault="00700BC8" w:rsidP="00700BC8">
      <w:pPr>
        <w:pStyle w:val="ListParagraph"/>
      </w:pPr>
    </w:p>
    <w:p w14:paraId="2CA76985" w14:textId="26542A48" w:rsidR="00700BC8" w:rsidRDefault="00700BC8" w:rsidP="00700BC8">
      <w:pPr>
        <w:pStyle w:val="ListParagraph"/>
        <w:numPr>
          <w:ilvl w:val="0"/>
          <w:numId w:val="6"/>
        </w:numPr>
      </w:pPr>
      <w:r>
        <w:t>If a modification is in progress in OSIRIS, do not transition the study into PittPRO until the modification has been approved in OSIRIS.</w:t>
      </w:r>
      <w:r w:rsidR="00700D10">
        <w:t xml:space="preserve"> This will help to ensure that the most currently approved study is being transitioned.</w:t>
      </w:r>
    </w:p>
    <w:p w14:paraId="3759AEDF" w14:textId="77777777" w:rsidR="00700BC8" w:rsidRDefault="00700BC8" w:rsidP="00700BC8">
      <w:pPr>
        <w:pStyle w:val="ListParagraph"/>
      </w:pPr>
    </w:p>
    <w:p w14:paraId="070A8ED8" w14:textId="724A727E" w:rsidR="00AE7FCF" w:rsidRDefault="00700BC8" w:rsidP="00AE7FCF">
      <w:pPr>
        <w:pStyle w:val="ListParagraph"/>
        <w:numPr>
          <w:ilvl w:val="0"/>
          <w:numId w:val="6"/>
        </w:numPr>
      </w:pPr>
      <w:r>
        <w:t xml:space="preserve">Study team members </w:t>
      </w:r>
      <w:r w:rsidR="00DB133B">
        <w:t xml:space="preserve">no longer involved </w:t>
      </w:r>
      <w:r>
        <w:t xml:space="preserve">and documents that are no longer being used (and will not be used in the future) can be removed </w:t>
      </w:r>
      <w:r w:rsidRPr="00D353F8">
        <w:rPr>
          <w:b/>
        </w:rPr>
        <w:t>but you are not permitted</w:t>
      </w:r>
      <w:r>
        <w:t xml:space="preserve"> to </w:t>
      </w:r>
      <w:r w:rsidR="00DB133B">
        <w:t>make ANY other changes at the time of transition</w:t>
      </w:r>
      <w:r>
        <w:t>.</w:t>
      </w:r>
    </w:p>
    <w:p w14:paraId="65177CCB" w14:textId="77777777" w:rsidR="00422F7B" w:rsidRDefault="00422F7B" w:rsidP="00422F7B">
      <w:pPr>
        <w:pStyle w:val="ListParagraph"/>
      </w:pPr>
    </w:p>
    <w:p w14:paraId="08C8AECC" w14:textId="2AF35A2D" w:rsidR="00700D10" w:rsidRDefault="00700D10" w:rsidP="00AE7FCF">
      <w:pPr>
        <w:pStyle w:val="ListParagraph"/>
        <w:numPr>
          <w:ilvl w:val="0"/>
          <w:numId w:val="6"/>
        </w:numPr>
      </w:pPr>
      <w:r>
        <w:t>Do not rename documents during this process. The IRB coordinator assigned to the transition will be conducting a historical review between OSIRIS and PittPRO to ensure consistency. Renaming documents can cause a delay in the review process. During the Pre-Review, the IRB coordinator may request that you change a document name. This is because all documents that are approved by the IRB are automatically added to the approval letter and we want to make sure the documents are appropriately named.</w:t>
      </w:r>
    </w:p>
    <w:p w14:paraId="15E67DD6" w14:textId="77777777" w:rsidR="00700D10" w:rsidRDefault="00700D10" w:rsidP="00700D10">
      <w:pPr>
        <w:pStyle w:val="ListParagraph"/>
      </w:pPr>
    </w:p>
    <w:p w14:paraId="4976286A" w14:textId="70C1992F" w:rsidR="00700D10" w:rsidRDefault="00700D10" w:rsidP="00AE7FCF">
      <w:pPr>
        <w:pStyle w:val="ListParagraph"/>
        <w:numPr>
          <w:ilvl w:val="0"/>
          <w:numId w:val="6"/>
        </w:numPr>
      </w:pPr>
      <w:r>
        <w:t>Remove footers on ALL PAGES of the consent document. We have been finding them on some of the pages after the consents are finalized. This will force the study team to have to submit a modification to make a correction because the IRB staff no longer has administrative functions. Instructions:</w:t>
      </w:r>
    </w:p>
    <w:p w14:paraId="51E1E791" w14:textId="77777777" w:rsidR="00700D10" w:rsidRDefault="00700D10" w:rsidP="00700D10">
      <w:pPr>
        <w:pStyle w:val="ListParagraph"/>
      </w:pPr>
    </w:p>
    <w:p w14:paraId="723E0F67" w14:textId="109E1BF9" w:rsidR="00700D10" w:rsidRDefault="00700D10" w:rsidP="00700D10">
      <w:pPr>
        <w:pStyle w:val="ListParagraph"/>
        <w:numPr>
          <w:ilvl w:val="1"/>
          <w:numId w:val="6"/>
        </w:numPr>
      </w:pPr>
      <w:r>
        <w:t xml:space="preserve">Open the draft consent document from </w:t>
      </w:r>
      <w:r w:rsidR="006362DA">
        <w:t>OSIRIS, S</w:t>
      </w:r>
      <w:r>
        <w:t>ection 4.9 (make sure to go to the DRAFT section), save the document to your computer, remove the footer from all pages but leave a 1” margin at the bottom of each page so the watermark in PittPRO is visible, correct any formatting issues but DO NOT make any wording changes. This is the consent version that will be uploaded into PittPRO.</w:t>
      </w:r>
    </w:p>
    <w:p w14:paraId="54F94372" w14:textId="77777777" w:rsidR="00700D10" w:rsidRDefault="00700D10" w:rsidP="00700D10">
      <w:pPr>
        <w:pStyle w:val="ListParagraph"/>
      </w:pPr>
    </w:p>
    <w:p w14:paraId="1CDCFE60" w14:textId="3C733ED1" w:rsidR="00422F7B" w:rsidRDefault="006362DA" w:rsidP="00AE7FCF">
      <w:pPr>
        <w:pStyle w:val="ListParagraph"/>
        <w:numPr>
          <w:ilvl w:val="0"/>
          <w:numId w:val="6"/>
        </w:numPr>
      </w:pPr>
      <w:r>
        <w:t>Studies involving ONLY a medical record review</w:t>
      </w:r>
      <w:r w:rsidR="00422F7B">
        <w:t xml:space="preserve"> do not require fiscal review so do not load that form into PittPRO.</w:t>
      </w:r>
    </w:p>
    <w:p w14:paraId="70139FAC" w14:textId="77777777" w:rsidR="00422F7B" w:rsidRDefault="00422F7B" w:rsidP="00422F7B">
      <w:pPr>
        <w:pStyle w:val="ListParagraph"/>
      </w:pPr>
    </w:p>
    <w:p w14:paraId="692FF695" w14:textId="7624B2EA" w:rsidR="00422F7B" w:rsidRDefault="00422F7B" w:rsidP="00AE7FCF">
      <w:pPr>
        <w:pStyle w:val="ListParagraph"/>
        <w:numPr>
          <w:ilvl w:val="0"/>
          <w:numId w:val="6"/>
        </w:numPr>
      </w:pPr>
      <w:r>
        <w:t>Do not attach the data security assessment form (DSA)</w:t>
      </w:r>
      <w:r w:rsidR="00700D10">
        <w:t xml:space="preserve"> that was uploaded into OSIRIS</w:t>
      </w:r>
      <w:r>
        <w:t xml:space="preserve">. Those questions are now located within the application under Electronic Data Management. </w:t>
      </w:r>
      <w:r w:rsidR="00700D10">
        <w:t>You can u</w:t>
      </w:r>
      <w:r>
        <w:t xml:space="preserve">se the information on the </w:t>
      </w:r>
      <w:r w:rsidR="006362DA">
        <w:t xml:space="preserve">previously approved </w:t>
      </w:r>
      <w:r>
        <w:t xml:space="preserve">DSA to complete the questions in that section. </w:t>
      </w:r>
    </w:p>
    <w:p w14:paraId="4DB6C0EE" w14:textId="77777777" w:rsidR="00422F7B" w:rsidRDefault="00422F7B" w:rsidP="00422F7B">
      <w:pPr>
        <w:pStyle w:val="ListParagraph"/>
      </w:pPr>
    </w:p>
    <w:p w14:paraId="3F8E5445" w14:textId="6165DE21" w:rsidR="00422F7B" w:rsidRDefault="00422F7B" w:rsidP="00DB133B">
      <w:pPr>
        <w:pStyle w:val="ListParagraph"/>
      </w:pPr>
    </w:p>
    <w:p w14:paraId="1C077859" w14:textId="65A0B86F" w:rsidR="00DB133B" w:rsidRDefault="00DB133B" w:rsidP="00DB133B">
      <w:pPr>
        <w:pStyle w:val="ListParagraph"/>
      </w:pPr>
    </w:p>
    <w:p w14:paraId="61D06CD0" w14:textId="77777777" w:rsidR="00DB133B" w:rsidRDefault="00DB133B" w:rsidP="00DB133B">
      <w:pPr>
        <w:pStyle w:val="ListParagraph"/>
      </w:pPr>
    </w:p>
    <w:p w14:paraId="28570AA9" w14:textId="77777777" w:rsidR="00700D10" w:rsidRDefault="00700D10" w:rsidP="00422F7B">
      <w:pPr>
        <w:rPr>
          <w:b/>
        </w:rPr>
      </w:pPr>
    </w:p>
    <w:p w14:paraId="02C6373D" w14:textId="77777777" w:rsidR="00700D10" w:rsidRDefault="00700D10" w:rsidP="00422F7B">
      <w:pPr>
        <w:rPr>
          <w:b/>
        </w:rPr>
      </w:pPr>
    </w:p>
    <w:p w14:paraId="3C2C550C" w14:textId="77777777" w:rsidR="00700D10" w:rsidRDefault="00700D10" w:rsidP="00422F7B">
      <w:pPr>
        <w:rPr>
          <w:b/>
        </w:rPr>
      </w:pPr>
    </w:p>
    <w:p w14:paraId="2C471F73" w14:textId="2873560A" w:rsidR="00422F7B" w:rsidRDefault="00422F7B" w:rsidP="00422F7B">
      <w:r>
        <w:rPr>
          <w:b/>
        </w:rPr>
        <w:lastRenderedPageBreak/>
        <w:t>Application Issues:</w:t>
      </w:r>
    </w:p>
    <w:p w14:paraId="52C01229" w14:textId="2D8581FE" w:rsidR="00422F7B" w:rsidRDefault="00422F7B" w:rsidP="00422F7B"/>
    <w:p w14:paraId="2D3C91DC" w14:textId="58A6637B" w:rsidR="00AE15AD" w:rsidRDefault="00700D10" w:rsidP="00CF70C7">
      <w:pPr>
        <w:pStyle w:val="ListParagraph"/>
        <w:numPr>
          <w:ilvl w:val="0"/>
          <w:numId w:val="8"/>
        </w:numPr>
        <w:rPr>
          <w:bCs/>
        </w:rPr>
      </w:pPr>
      <w:r>
        <w:rPr>
          <w:bCs/>
        </w:rPr>
        <w:t>Funding source</w:t>
      </w:r>
      <w:r w:rsidR="00AE15AD">
        <w:rPr>
          <w:bCs/>
        </w:rPr>
        <w:t>: It is important to list ALL funding sources in this section. It is especially important since PittPRO will be integrated into the PERIS solution at some point. We need to ensure consistent information between the two systems.</w:t>
      </w:r>
    </w:p>
    <w:p w14:paraId="024346DF" w14:textId="77777777" w:rsidR="00AE15AD" w:rsidRDefault="00AE15AD" w:rsidP="00AE15AD">
      <w:pPr>
        <w:pStyle w:val="ListParagraph"/>
        <w:rPr>
          <w:bCs/>
        </w:rPr>
      </w:pPr>
    </w:p>
    <w:p w14:paraId="70A72E41" w14:textId="4C1DDD5B" w:rsidR="00AE15AD" w:rsidRDefault="00AE15AD" w:rsidP="00AE15AD">
      <w:pPr>
        <w:pStyle w:val="ListParagraph"/>
        <w:numPr>
          <w:ilvl w:val="1"/>
          <w:numId w:val="8"/>
        </w:numPr>
        <w:rPr>
          <w:bCs/>
        </w:rPr>
      </w:pPr>
      <w:r>
        <w:rPr>
          <w:bCs/>
        </w:rPr>
        <w:t xml:space="preserve">If you need to include a Fee Sheet, this is the section where it will be uploaded. Click on “external funding,” use the Add button under #2 and attach the file in #4 on the </w:t>
      </w:r>
      <w:proofErr w:type="gramStart"/>
      <w:r>
        <w:rPr>
          <w:bCs/>
        </w:rPr>
        <w:t>pop up</w:t>
      </w:r>
      <w:proofErr w:type="gramEnd"/>
      <w:r>
        <w:rPr>
          <w:bCs/>
        </w:rPr>
        <w:t xml:space="preserve"> page. </w:t>
      </w:r>
    </w:p>
    <w:p w14:paraId="30C1CA52" w14:textId="435A9320" w:rsidR="00AE15AD" w:rsidRDefault="00AE15AD" w:rsidP="00AE15AD">
      <w:pPr>
        <w:pStyle w:val="ListParagraph"/>
        <w:numPr>
          <w:ilvl w:val="1"/>
          <w:numId w:val="8"/>
        </w:numPr>
        <w:rPr>
          <w:bCs/>
        </w:rPr>
      </w:pPr>
      <w:r>
        <w:rPr>
          <w:bCs/>
        </w:rPr>
        <w:t xml:space="preserve">If you are requesting a fee waiver, you still </w:t>
      </w:r>
      <w:proofErr w:type="gramStart"/>
      <w:r>
        <w:rPr>
          <w:bCs/>
        </w:rPr>
        <w:t>have to</w:t>
      </w:r>
      <w:proofErr w:type="gramEnd"/>
      <w:r>
        <w:rPr>
          <w:bCs/>
        </w:rPr>
        <w:t xml:space="preserve"> complete the Fee Sheet and click the box indicating a request for waiver. There is no other place in the system to request this.</w:t>
      </w:r>
    </w:p>
    <w:p w14:paraId="31CED7C1" w14:textId="5D34D0FA" w:rsidR="00AE15AD" w:rsidRDefault="00AE15AD" w:rsidP="00AE15AD">
      <w:pPr>
        <w:pStyle w:val="ListParagraph"/>
        <w:ind w:left="1440"/>
        <w:rPr>
          <w:bCs/>
        </w:rPr>
      </w:pPr>
    </w:p>
    <w:p w14:paraId="4017ED27" w14:textId="07B47A92" w:rsidR="00CF70C7" w:rsidRDefault="00CF70C7" w:rsidP="00CF70C7">
      <w:pPr>
        <w:pStyle w:val="ListParagraph"/>
        <w:numPr>
          <w:ilvl w:val="0"/>
          <w:numId w:val="8"/>
        </w:numPr>
        <w:rPr>
          <w:bCs/>
        </w:rPr>
      </w:pPr>
      <w:r>
        <w:rPr>
          <w:bCs/>
        </w:rPr>
        <w:t>Study team: Include research coordinators as there is no other place to list personnel in the application. Include qualifications if the research coordinator will be conducting research procedures (obtaining informed consent, administering measures, etc.).</w:t>
      </w:r>
    </w:p>
    <w:p w14:paraId="353ED974" w14:textId="77777777" w:rsidR="00CF70C7" w:rsidRPr="00CF70C7" w:rsidRDefault="00CF70C7" w:rsidP="00CF70C7">
      <w:pPr>
        <w:pStyle w:val="ListParagraph"/>
        <w:rPr>
          <w:bCs/>
        </w:rPr>
      </w:pPr>
    </w:p>
    <w:p w14:paraId="30BAEC51" w14:textId="3F916E32" w:rsidR="0060282B" w:rsidRPr="0060282B" w:rsidRDefault="0060282B" w:rsidP="00422F7B">
      <w:pPr>
        <w:pStyle w:val="ListParagraph"/>
        <w:numPr>
          <w:ilvl w:val="0"/>
          <w:numId w:val="8"/>
        </w:numPr>
        <w:rPr>
          <w:bCs/>
        </w:rPr>
      </w:pPr>
      <w:r>
        <w:t>Study Scope: Make sure to be accurate in your selections on this page. This is what the system uses to provide the necessary pages of the application required for completion.</w:t>
      </w:r>
    </w:p>
    <w:p w14:paraId="4D654AE0" w14:textId="77777777" w:rsidR="0060282B" w:rsidRPr="0060282B" w:rsidRDefault="0060282B" w:rsidP="0060282B">
      <w:pPr>
        <w:pStyle w:val="ListParagraph"/>
        <w:rPr>
          <w:bCs/>
        </w:rPr>
      </w:pPr>
    </w:p>
    <w:p w14:paraId="493D3D4B" w14:textId="4CC29F65" w:rsidR="0060282B" w:rsidRDefault="0060282B" w:rsidP="0060282B">
      <w:pPr>
        <w:pStyle w:val="ListParagraph"/>
        <w:numPr>
          <w:ilvl w:val="1"/>
          <w:numId w:val="8"/>
        </w:numPr>
        <w:rPr>
          <w:bCs/>
        </w:rPr>
      </w:pPr>
      <w:r>
        <w:rPr>
          <w:bCs/>
        </w:rPr>
        <w:t>For waivers, choose the correct option:</w:t>
      </w:r>
    </w:p>
    <w:p w14:paraId="6169B69D" w14:textId="3C8741E2" w:rsidR="0060282B" w:rsidRDefault="0060282B" w:rsidP="0060282B">
      <w:pPr>
        <w:pStyle w:val="ListParagraph"/>
        <w:numPr>
          <w:ilvl w:val="2"/>
          <w:numId w:val="8"/>
        </w:numPr>
        <w:rPr>
          <w:bCs/>
        </w:rPr>
      </w:pPr>
      <w:r>
        <w:rPr>
          <w:bCs/>
        </w:rPr>
        <w:t>Waiver/alteration of consent means that you previously had a complete waiver (no consent process) or part of the consent process was altered (SECTION 4.7 of OSIRIS)</w:t>
      </w:r>
    </w:p>
    <w:p w14:paraId="34EF1F58" w14:textId="4B93B8D8" w:rsidR="0060282B" w:rsidRDefault="0060282B" w:rsidP="0060282B">
      <w:pPr>
        <w:pStyle w:val="ListParagraph"/>
        <w:numPr>
          <w:ilvl w:val="2"/>
          <w:numId w:val="8"/>
        </w:numPr>
        <w:rPr>
          <w:bCs/>
        </w:rPr>
      </w:pPr>
      <w:r>
        <w:rPr>
          <w:bCs/>
        </w:rPr>
        <w:t>Waiver to document consent means that you previously had some type of “verbal” or “electronic” consent process approved (SECTION 4.6 of OSIRIS)</w:t>
      </w:r>
    </w:p>
    <w:p w14:paraId="7D270B6F" w14:textId="0EC3E80D" w:rsidR="0060282B" w:rsidRPr="0060282B" w:rsidRDefault="0060282B" w:rsidP="0060282B">
      <w:pPr>
        <w:pStyle w:val="ListParagraph"/>
        <w:numPr>
          <w:ilvl w:val="2"/>
          <w:numId w:val="8"/>
        </w:numPr>
        <w:rPr>
          <w:bCs/>
        </w:rPr>
      </w:pPr>
      <w:r>
        <w:rPr>
          <w:bCs/>
        </w:rPr>
        <w:t>Waiver/Alteration of HIPAA means that you previously had a waiver of HIPAA Authorization approved (SECTION 2.14.2 of OSIRIS)</w:t>
      </w:r>
    </w:p>
    <w:p w14:paraId="0E089A9F" w14:textId="77777777" w:rsidR="0060282B" w:rsidRDefault="0060282B" w:rsidP="0060282B">
      <w:pPr>
        <w:pStyle w:val="ListParagraph"/>
      </w:pPr>
    </w:p>
    <w:p w14:paraId="29B9C33C" w14:textId="56838BB8" w:rsidR="00293582" w:rsidRPr="00293582" w:rsidRDefault="00293582" w:rsidP="00422F7B">
      <w:pPr>
        <w:pStyle w:val="ListParagraph"/>
        <w:numPr>
          <w:ilvl w:val="0"/>
          <w:numId w:val="8"/>
        </w:numPr>
        <w:rPr>
          <w:bCs/>
        </w:rPr>
      </w:pPr>
      <w:r>
        <w:t xml:space="preserve">Recruitment Methods: Leave at least a 1” margin on recruitment material so that the approval watermark applied by the system is visible. </w:t>
      </w:r>
    </w:p>
    <w:p w14:paraId="0F93F128" w14:textId="77777777" w:rsidR="00293582" w:rsidRPr="00293582" w:rsidRDefault="00293582" w:rsidP="00293582">
      <w:pPr>
        <w:pStyle w:val="ListParagraph"/>
        <w:rPr>
          <w:bCs/>
        </w:rPr>
      </w:pPr>
    </w:p>
    <w:p w14:paraId="2A79F362" w14:textId="399740CE" w:rsidR="00293582" w:rsidRPr="00293582" w:rsidRDefault="00293582" w:rsidP="00293582">
      <w:pPr>
        <w:pStyle w:val="ListParagraph"/>
        <w:numPr>
          <w:ilvl w:val="1"/>
          <w:numId w:val="8"/>
        </w:numPr>
        <w:rPr>
          <w:bCs/>
        </w:rPr>
      </w:pPr>
      <w:r>
        <w:t>If you are using an advertisement with pull tabs, upload that document under Local Supporting Documents instead of in this section as the watermark will be “pulled off” with the tabs.</w:t>
      </w:r>
    </w:p>
    <w:p w14:paraId="7A9DFE4B" w14:textId="79BE1BEB" w:rsidR="00293582" w:rsidRPr="00293582" w:rsidRDefault="00293582" w:rsidP="00293582">
      <w:pPr>
        <w:pStyle w:val="ListParagraph"/>
        <w:numPr>
          <w:ilvl w:val="1"/>
          <w:numId w:val="8"/>
        </w:numPr>
        <w:rPr>
          <w:bCs/>
        </w:rPr>
      </w:pPr>
      <w:r>
        <w:t>At this time, material designed using Publisher</w:t>
      </w:r>
      <w:r w:rsidR="00415E2E">
        <w:t xml:space="preserve"> has not been able to be watermarked. If you need to use this software, upload those ads into Local Supporting Documents.</w:t>
      </w:r>
    </w:p>
    <w:p w14:paraId="376DA9D0" w14:textId="77777777" w:rsidR="00293582" w:rsidRPr="00293582" w:rsidRDefault="00293582" w:rsidP="00293582">
      <w:pPr>
        <w:pStyle w:val="ListParagraph"/>
        <w:rPr>
          <w:bCs/>
        </w:rPr>
      </w:pPr>
    </w:p>
    <w:p w14:paraId="40CDE964" w14:textId="13EB5662" w:rsidR="00422F7B" w:rsidRPr="00CF70C7" w:rsidRDefault="00422F7B" w:rsidP="00422F7B">
      <w:pPr>
        <w:pStyle w:val="ListParagraph"/>
        <w:numPr>
          <w:ilvl w:val="0"/>
          <w:numId w:val="8"/>
        </w:numPr>
        <w:rPr>
          <w:bCs/>
        </w:rPr>
      </w:pPr>
      <w:r w:rsidRPr="00CF70C7">
        <w:t>Study design #2: Do not include the research activities in this section. In this section, summarize the general classification (e.g., descriptive</w:t>
      </w:r>
      <w:r w:rsidRPr="00CF70C7">
        <w:rPr>
          <w:bCs/>
        </w:rPr>
        <w:t xml:space="preserve">, experimental) and methodological design (e.g., observational, cross-sectional, longitudinal, randomized, open-label single-blind, double-blind, placebo-controlled, active treatment controlled, parallel arm, cross-over arm) of the proposed research study. </w:t>
      </w:r>
    </w:p>
    <w:p w14:paraId="515A8CAD" w14:textId="77777777" w:rsidR="00422F7B" w:rsidRPr="00CF70C7" w:rsidRDefault="00422F7B" w:rsidP="00422F7B">
      <w:pPr>
        <w:pStyle w:val="ListParagraph"/>
        <w:rPr>
          <w:bCs/>
        </w:rPr>
      </w:pPr>
    </w:p>
    <w:p w14:paraId="75D8B19B" w14:textId="4AD773FF" w:rsidR="00422F7B" w:rsidRDefault="00422F7B" w:rsidP="00422F7B">
      <w:pPr>
        <w:pStyle w:val="ListParagraph"/>
        <w:numPr>
          <w:ilvl w:val="0"/>
          <w:numId w:val="8"/>
        </w:numPr>
        <w:rPr>
          <w:bCs/>
        </w:rPr>
      </w:pPr>
      <w:r w:rsidRPr="00CF70C7">
        <w:rPr>
          <w:bCs/>
        </w:rPr>
        <w:t>Study design #3: Do not include endpoints for withdrawing subjects in this section</w:t>
      </w:r>
      <w:r w:rsidR="00CF70C7">
        <w:rPr>
          <w:bCs/>
        </w:rPr>
        <w:t xml:space="preserve"> as this is addressed elsewhere in the application</w:t>
      </w:r>
      <w:r w:rsidRPr="00CF70C7">
        <w:rPr>
          <w:bCs/>
        </w:rPr>
        <w:t>. We are looking for the main outcome variables that will be evaluated in this study. These can be found in item 2.17 of your OSIRIS protocol.</w:t>
      </w:r>
    </w:p>
    <w:p w14:paraId="3147530E" w14:textId="77777777" w:rsidR="0060282B" w:rsidRPr="0060282B" w:rsidRDefault="0060282B" w:rsidP="0060282B">
      <w:pPr>
        <w:pStyle w:val="ListParagraph"/>
        <w:rPr>
          <w:bCs/>
        </w:rPr>
      </w:pPr>
    </w:p>
    <w:p w14:paraId="4689D899" w14:textId="465DB9E1" w:rsidR="0060282B" w:rsidRDefault="0060282B" w:rsidP="00422F7B">
      <w:pPr>
        <w:pStyle w:val="ListParagraph"/>
        <w:numPr>
          <w:ilvl w:val="0"/>
          <w:numId w:val="8"/>
        </w:numPr>
        <w:rPr>
          <w:bCs/>
        </w:rPr>
      </w:pPr>
      <w:r>
        <w:rPr>
          <w:bCs/>
        </w:rPr>
        <w:t>Research Activities: There is no longer separate sections to outline screening and follow up procedures. All procedures being done (screening, study, and follow-up</w:t>
      </w:r>
      <w:r w:rsidR="00293582">
        <w:rPr>
          <w:bCs/>
        </w:rPr>
        <w:t>) go under this section. They should appear in that order with headings as applicable: screening – study procedures – follow-up.</w:t>
      </w:r>
    </w:p>
    <w:p w14:paraId="5C3AB363" w14:textId="77777777" w:rsidR="00DB133B" w:rsidRPr="00DB133B" w:rsidRDefault="00DB133B" w:rsidP="00DB133B">
      <w:pPr>
        <w:pStyle w:val="ListParagraph"/>
        <w:rPr>
          <w:bCs/>
        </w:rPr>
      </w:pPr>
    </w:p>
    <w:p w14:paraId="14B0C322" w14:textId="2ABB1107" w:rsidR="00DB133B" w:rsidRDefault="00DB133B" w:rsidP="00422F7B">
      <w:pPr>
        <w:pStyle w:val="ListParagraph"/>
        <w:numPr>
          <w:ilvl w:val="0"/>
          <w:numId w:val="8"/>
        </w:numPr>
        <w:rPr>
          <w:bCs/>
        </w:rPr>
      </w:pPr>
      <w:r>
        <w:rPr>
          <w:bCs/>
        </w:rPr>
        <w:t>Screening for recruitment should go under the Recruitment section rather than in the Research Activities section.</w:t>
      </w:r>
    </w:p>
    <w:p w14:paraId="27952D69" w14:textId="78F0BD74" w:rsidR="0060282B" w:rsidRDefault="0060282B" w:rsidP="0060282B">
      <w:pPr>
        <w:pStyle w:val="ListParagraph"/>
        <w:rPr>
          <w:bCs/>
        </w:rPr>
      </w:pPr>
    </w:p>
    <w:p w14:paraId="46A1147C" w14:textId="2C9BB0F0" w:rsidR="006362DA" w:rsidRDefault="006362DA" w:rsidP="0060282B">
      <w:pPr>
        <w:pStyle w:val="ListParagraph"/>
        <w:rPr>
          <w:bCs/>
        </w:rPr>
      </w:pPr>
    </w:p>
    <w:p w14:paraId="6BDFC37F" w14:textId="025BD6F3" w:rsidR="006362DA" w:rsidRDefault="006362DA" w:rsidP="0060282B">
      <w:pPr>
        <w:pStyle w:val="ListParagraph"/>
        <w:rPr>
          <w:bCs/>
        </w:rPr>
      </w:pPr>
    </w:p>
    <w:p w14:paraId="1851ECD7" w14:textId="19F7AF4E" w:rsidR="006362DA" w:rsidRDefault="006362DA" w:rsidP="0060282B">
      <w:pPr>
        <w:pStyle w:val="ListParagraph"/>
        <w:rPr>
          <w:bCs/>
        </w:rPr>
      </w:pPr>
    </w:p>
    <w:p w14:paraId="4E0CFA7C" w14:textId="62F234E5" w:rsidR="006362DA" w:rsidRDefault="006362DA" w:rsidP="0060282B">
      <w:pPr>
        <w:pStyle w:val="ListParagraph"/>
        <w:rPr>
          <w:bCs/>
        </w:rPr>
      </w:pPr>
    </w:p>
    <w:p w14:paraId="00E42AD5" w14:textId="77777777" w:rsidR="006362DA" w:rsidRPr="0060282B" w:rsidRDefault="006362DA" w:rsidP="0060282B">
      <w:pPr>
        <w:pStyle w:val="ListParagraph"/>
        <w:rPr>
          <w:bCs/>
        </w:rPr>
      </w:pPr>
    </w:p>
    <w:p w14:paraId="616CD786" w14:textId="4C4BE799" w:rsidR="0060282B" w:rsidRDefault="0060282B" w:rsidP="00422F7B">
      <w:pPr>
        <w:pStyle w:val="ListParagraph"/>
        <w:numPr>
          <w:ilvl w:val="0"/>
          <w:numId w:val="8"/>
        </w:numPr>
        <w:rPr>
          <w:bCs/>
        </w:rPr>
      </w:pPr>
      <w:r>
        <w:rPr>
          <w:bCs/>
        </w:rPr>
        <w:t>Consent Process, item 5: Only request this exception if you previously had one approved (SECTION 4.13 of OSIRIS). This is NOT applicable to exempt studies or studies that involve a waiver of consent for all procedures/populations.</w:t>
      </w:r>
    </w:p>
    <w:p w14:paraId="1700B798" w14:textId="2FADFC23" w:rsidR="006362DA" w:rsidRDefault="006362DA" w:rsidP="006362DA">
      <w:pPr>
        <w:pStyle w:val="ListParagraph"/>
        <w:rPr>
          <w:bCs/>
        </w:rPr>
      </w:pPr>
    </w:p>
    <w:p w14:paraId="3F3FFEF9" w14:textId="6589054B" w:rsidR="006362DA" w:rsidRDefault="006362DA" w:rsidP="00422F7B">
      <w:pPr>
        <w:pStyle w:val="ListParagraph"/>
        <w:numPr>
          <w:ilvl w:val="0"/>
          <w:numId w:val="8"/>
        </w:numPr>
        <w:rPr>
          <w:bCs/>
        </w:rPr>
      </w:pPr>
      <w:r>
        <w:rPr>
          <w:bCs/>
        </w:rPr>
        <w:t>Do not “data dump” into the Local Supporting Documents page. There are places throughout the application to upload documents. Only include documents in this section if there isn’t another section in PittPRO to put them.</w:t>
      </w:r>
    </w:p>
    <w:p w14:paraId="262C5B60" w14:textId="77777777" w:rsidR="00DB133B" w:rsidRPr="00DB133B" w:rsidRDefault="00DB133B" w:rsidP="00DB133B">
      <w:pPr>
        <w:pStyle w:val="ListParagraph"/>
        <w:rPr>
          <w:bCs/>
        </w:rPr>
      </w:pPr>
    </w:p>
    <w:p w14:paraId="549D0096" w14:textId="29889749" w:rsidR="00DB133B" w:rsidRPr="00CF70C7" w:rsidRDefault="00DB133B" w:rsidP="00422F7B">
      <w:pPr>
        <w:pStyle w:val="ListParagraph"/>
        <w:numPr>
          <w:ilvl w:val="0"/>
          <w:numId w:val="8"/>
        </w:numPr>
        <w:rPr>
          <w:bCs/>
        </w:rPr>
      </w:pPr>
      <w:r>
        <w:rPr>
          <w:bCs/>
        </w:rPr>
        <w:t>Uploading/Accessing Documents: Once a study is approved, you will find the approved documents (including the watermarked consent) under the Documents tab on the main study page. Make sure to use the consent documents under the “Final” column. If you need to make changes to the documents, utilize the version under the “Draft” column.</w:t>
      </w:r>
    </w:p>
    <w:sectPr w:rsidR="00DB133B" w:rsidRPr="00CF70C7" w:rsidSect="00B934B1">
      <w:head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34BE" w14:textId="77777777" w:rsidR="00CA5EFC" w:rsidRDefault="00CA5EFC" w:rsidP="008529E8">
      <w:r>
        <w:separator/>
      </w:r>
    </w:p>
  </w:endnote>
  <w:endnote w:type="continuationSeparator" w:id="0">
    <w:p w14:paraId="761C0A66" w14:textId="77777777" w:rsidR="00CA5EFC" w:rsidRDefault="00CA5EFC" w:rsidP="0085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DCAB" w14:textId="77777777" w:rsidR="00CA5EFC" w:rsidRDefault="00CA5EFC" w:rsidP="008529E8">
      <w:r>
        <w:separator/>
      </w:r>
    </w:p>
  </w:footnote>
  <w:footnote w:type="continuationSeparator" w:id="0">
    <w:p w14:paraId="69FF4303" w14:textId="77777777" w:rsidR="00CA5EFC" w:rsidRDefault="00CA5EFC" w:rsidP="00852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3198" w14:textId="6A207834" w:rsidR="00C0056B" w:rsidRPr="008529E8" w:rsidRDefault="00C0056B" w:rsidP="008529E8">
    <w:pPr>
      <w:pStyle w:val="Header"/>
      <w:jc w:val="center"/>
      <w:rPr>
        <w:b/>
        <w:sz w:val="32"/>
        <w:szCs w:val="32"/>
      </w:rPr>
    </w:pPr>
    <w:r w:rsidRPr="008529E8">
      <w:rPr>
        <w:b/>
        <w:sz w:val="32"/>
        <w:szCs w:val="32"/>
      </w:rPr>
      <w:t xml:space="preserve">Tip Sheet for </w:t>
    </w:r>
    <w:r>
      <w:rPr>
        <w:b/>
        <w:sz w:val="32"/>
        <w:szCs w:val="32"/>
      </w:rPr>
      <w:t xml:space="preserve">OSIRIS to PittPRO </w:t>
    </w:r>
    <w:r w:rsidRPr="008529E8">
      <w:rPr>
        <w:b/>
        <w:sz w:val="32"/>
        <w:szCs w:val="32"/>
      </w:rPr>
      <w:t>Transition</w:t>
    </w:r>
    <w:r>
      <w:rPr>
        <w:b/>
        <w:sz w:val="32"/>
        <w:szCs w:val="32"/>
      </w:rPr>
      <w:t xml:space="preserve"> </w:t>
    </w:r>
    <w:r w:rsidRPr="00802A54">
      <w:rPr>
        <w:b/>
        <w:sz w:val="16"/>
        <w:szCs w:val="16"/>
      </w:rPr>
      <w:t>(</w:t>
    </w:r>
    <w:r w:rsidR="00DB133B">
      <w:rPr>
        <w:b/>
        <w:sz w:val="16"/>
        <w:szCs w:val="16"/>
      </w:rPr>
      <w:t>6.3.19</w:t>
    </w:r>
    <w:r w:rsidRPr="00802A54">
      <w:rPr>
        <w:b/>
        <w:sz w:val="16"/>
        <w:szCs w:val="16"/>
      </w:rPr>
      <w:t>)</w:t>
    </w:r>
  </w:p>
  <w:p w14:paraId="5CEF87B1" w14:textId="5B8C7105" w:rsidR="00C0056B" w:rsidRDefault="00C00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3E1"/>
    <w:multiLevelType w:val="hybridMultilevel"/>
    <w:tmpl w:val="6A7C9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26833"/>
    <w:multiLevelType w:val="hybridMultilevel"/>
    <w:tmpl w:val="BFA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56013"/>
    <w:multiLevelType w:val="hybridMultilevel"/>
    <w:tmpl w:val="00BC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65859"/>
    <w:multiLevelType w:val="hybridMultilevel"/>
    <w:tmpl w:val="B5949C12"/>
    <w:lvl w:ilvl="0" w:tplc="BF2A421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C405C"/>
    <w:multiLevelType w:val="hybridMultilevel"/>
    <w:tmpl w:val="1F82464A"/>
    <w:lvl w:ilvl="0" w:tplc="863652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C5C81"/>
    <w:multiLevelType w:val="hybridMultilevel"/>
    <w:tmpl w:val="67688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D2A13"/>
    <w:multiLevelType w:val="hybridMultilevel"/>
    <w:tmpl w:val="29DAE71C"/>
    <w:lvl w:ilvl="0" w:tplc="58E4BF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20490"/>
    <w:multiLevelType w:val="hybridMultilevel"/>
    <w:tmpl w:val="0CEE5376"/>
    <w:lvl w:ilvl="0" w:tplc="686A03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B6"/>
    <w:rsid w:val="0001773B"/>
    <w:rsid w:val="00041A2B"/>
    <w:rsid w:val="000A0430"/>
    <w:rsid w:val="000F1E2D"/>
    <w:rsid w:val="00120A9B"/>
    <w:rsid w:val="00163B03"/>
    <w:rsid w:val="00293582"/>
    <w:rsid w:val="002A3CA7"/>
    <w:rsid w:val="002C3EB8"/>
    <w:rsid w:val="00317F7F"/>
    <w:rsid w:val="003452FF"/>
    <w:rsid w:val="00364FB3"/>
    <w:rsid w:val="00380F51"/>
    <w:rsid w:val="00382DA9"/>
    <w:rsid w:val="00395405"/>
    <w:rsid w:val="003C5D51"/>
    <w:rsid w:val="003D1222"/>
    <w:rsid w:val="00415E2E"/>
    <w:rsid w:val="00422F7B"/>
    <w:rsid w:val="004408B3"/>
    <w:rsid w:val="00444020"/>
    <w:rsid w:val="00472C59"/>
    <w:rsid w:val="004C6DB6"/>
    <w:rsid w:val="004E1E1F"/>
    <w:rsid w:val="004F4294"/>
    <w:rsid w:val="00544658"/>
    <w:rsid w:val="0060282B"/>
    <w:rsid w:val="0063329A"/>
    <w:rsid w:val="006362DA"/>
    <w:rsid w:val="00700BC8"/>
    <w:rsid w:val="00700D10"/>
    <w:rsid w:val="00721271"/>
    <w:rsid w:val="00741ED0"/>
    <w:rsid w:val="007849CA"/>
    <w:rsid w:val="00796E83"/>
    <w:rsid w:val="007A7CC1"/>
    <w:rsid w:val="007C11F9"/>
    <w:rsid w:val="00802A54"/>
    <w:rsid w:val="00813A8B"/>
    <w:rsid w:val="008529E8"/>
    <w:rsid w:val="008D04D0"/>
    <w:rsid w:val="00961E3D"/>
    <w:rsid w:val="009753BC"/>
    <w:rsid w:val="009F66FE"/>
    <w:rsid w:val="00A11642"/>
    <w:rsid w:val="00A92327"/>
    <w:rsid w:val="00AB07C7"/>
    <w:rsid w:val="00AC5A01"/>
    <w:rsid w:val="00AD0C80"/>
    <w:rsid w:val="00AD42AF"/>
    <w:rsid w:val="00AD60C3"/>
    <w:rsid w:val="00AD7B16"/>
    <w:rsid w:val="00AE15AD"/>
    <w:rsid w:val="00AE7FCF"/>
    <w:rsid w:val="00B25665"/>
    <w:rsid w:val="00B436B8"/>
    <w:rsid w:val="00B934B1"/>
    <w:rsid w:val="00BC3F4E"/>
    <w:rsid w:val="00BF285F"/>
    <w:rsid w:val="00C0056B"/>
    <w:rsid w:val="00C11906"/>
    <w:rsid w:val="00C45BE9"/>
    <w:rsid w:val="00C55960"/>
    <w:rsid w:val="00C7010E"/>
    <w:rsid w:val="00CA5EFC"/>
    <w:rsid w:val="00CE05AF"/>
    <w:rsid w:val="00CF70C7"/>
    <w:rsid w:val="00D2100F"/>
    <w:rsid w:val="00D353F8"/>
    <w:rsid w:val="00D52329"/>
    <w:rsid w:val="00D573B5"/>
    <w:rsid w:val="00DB133B"/>
    <w:rsid w:val="00DB2905"/>
    <w:rsid w:val="00DB5AA2"/>
    <w:rsid w:val="00DF651C"/>
    <w:rsid w:val="00E06EED"/>
    <w:rsid w:val="00E225BA"/>
    <w:rsid w:val="00E3381F"/>
    <w:rsid w:val="00E60136"/>
    <w:rsid w:val="00E85770"/>
    <w:rsid w:val="00E94329"/>
    <w:rsid w:val="00F8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93C16"/>
  <w15:chartTrackingRefBased/>
  <w15:docId w15:val="{BD7E5DD6-3900-4390-9C26-253CE795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9E8"/>
    <w:rPr>
      <w:color w:val="0000FF"/>
      <w:u w:val="single"/>
    </w:rPr>
  </w:style>
  <w:style w:type="paragraph" w:styleId="Header">
    <w:name w:val="header"/>
    <w:basedOn w:val="Normal"/>
    <w:link w:val="HeaderChar"/>
    <w:uiPriority w:val="99"/>
    <w:unhideWhenUsed/>
    <w:rsid w:val="008529E8"/>
    <w:pPr>
      <w:tabs>
        <w:tab w:val="center" w:pos="4680"/>
        <w:tab w:val="right" w:pos="9360"/>
      </w:tabs>
    </w:pPr>
  </w:style>
  <w:style w:type="character" w:customStyle="1" w:styleId="HeaderChar">
    <w:name w:val="Header Char"/>
    <w:basedOn w:val="DefaultParagraphFont"/>
    <w:link w:val="Header"/>
    <w:uiPriority w:val="99"/>
    <w:rsid w:val="008529E8"/>
  </w:style>
  <w:style w:type="paragraph" w:styleId="Footer">
    <w:name w:val="footer"/>
    <w:basedOn w:val="Normal"/>
    <w:link w:val="FooterChar"/>
    <w:uiPriority w:val="99"/>
    <w:unhideWhenUsed/>
    <w:rsid w:val="008529E8"/>
    <w:pPr>
      <w:tabs>
        <w:tab w:val="center" w:pos="4680"/>
        <w:tab w:val="right" w:pos="9360"/>
      </w:tabs>
    </w:pPr>
  </w:style>
  <w:style w:type="character" w:customStyle="1" w:styleId="FooterChar">
    <w:name w:val="Footer Char"/>
    <w:basedOn w:val="DefaultParagraphFont"/>
    <w:link w:val="Footer"/>
    <w:uiPriority w:val="99"/>
    <w:rsid w:val="008529E8"/>
  </w:style>
  <w:style w:type="paragraph" w:styleId="ListParagraph">
    <w:name w:val="List Paragraph"/>
    <w:basedOn w:val="Normal"/>
    <w:uiPriority w:val="34"/>
    <w:qFormat/>
    <w:rsid w:val="00B436B8"/>
    <w:pPr>
      <w:ind w:left="720"/>
      <w:contextualSpacing/>
    </w:pPr>
  </w:style>
  <w:style w:type="character" w:styleId="UnresolvedMention">
    <w:name w:val="Unresolved Mention"/>
    <w:basedOn w:val="DefaultParagraphFont"/>
    <w:uiPriority w:val="99"/>
    <w:semiHidden/>
    <w:unhideWhenUsed/>
    <w:rsid w:val="00700BC8"/>
    <w:rPr>
      <w:color w:val="605E5C"/>
      <w:shd w:val="clear" w:color="auto" w:fill="E1DFDD"/>
    </w:rPr>
  </w:style>
  <w:style w:type="character" w:styleId="FollowedHyperlink">
    <w:name w:val="FollowedHyperlink"/>
    <w:basedOn w:val="DefaultParagraphFont"/>
    <w:uiPriority w:val="99"/>
    <w:semiHidden/>
    <w:unhideWhenUsed/>
    <w:rsid w:val="00700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o@pitt.edu" TargetMode="External"/><Relationship Id="rId3" Type="http://schemas.openxmlformats.org/officeDocument/2006/relationships/settings" Target="settings.xml"/><Relationship Id="rId7" Type="http://schemas.openxmlformats.org/officeDocument/2006/relationships/hyperlink" Target="mailto:askirb@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Orndoff, Patricia Ann</dc:creator>
  <cp:keywords/>
  <dc:description/>
  <cp:lastModifiedBy>Melissa Miklos</cp:lastModifiedBy>
  <cp:revision>2</cp:revision>
  <cp:lastPrinted>2019-01-30T14:23:00Z</cp:lastPrinted>
  <dcterms:created xsi:type="dcterms:W3CDTF">2019-06-04T13:53:00Z</dcterms:created>
  <dcterms:modified xsi:type="dcterms:W3CDTF">2019-06-04T13:53:00Z</dcterms:modified>
</cp:coreProperties>
</file>